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91" w:rsidRPr="00070192" w:rsidRDefault="009C063A" w:rsidP="00070192">
      <w:pPr>
        <w:spacing w:line="276" w:lineRule="auto"/>
        <w:ind w:left="5387"/>
        <w:rPr>
          <w:rFonts w:ascii="Times New Roman" w:hAnsi="Times New Roman" w:cs="Times New Roman"/>
        </w:rPr>
      </w:pPr>
      <w:bookmarkStart w:id="0" w:name="_GoBack"/>
      <w:bookmarkEnd w:id="0"/>
      <w:r w:rsidRPr="00070192">
        <w:rPr>
          <w:rFonts w:ascii="Times New Roman" w:hAnsi="Times New Roman" w:cs="Times New Roman"/>
        </w:rPr>
        <w:t xml:space="preserve">Утверждено </w:t>
      </w:r>
    </w:p>
    <w:p w:rsidR="009C063A" w:rsidRPr="00070192" w:rsidRDefault="009C063A" w:rsidP="00070192">
      <w:pPr>
        <w:spacing w:line="276" w:lineRule="auto"/>
        <w:ind w:left="5387"/>
        <w:rPr>
          <w:rFonts w:ascii="Times New Roman" w:hAnsi="Times New Roman" w:cs="Times New Roman"/>
        </w:rPr>
      </w:pPr>
      <w:r w:rsidRPr="00070192">
        <w:rPr>
          <w:rFonts w:ascii="Times New Roman" w:hAnsi="Times New Roman" w:cs="Times New Roman"/>
        </w:rPr>
        <w:t>Решением</w:t>
      </w:r>
      <w:r w:rsidR="00C43391" w:rsidRPr="00070192">
        <w:rPr>
          <w:rFonts w:ascii="Times New Roman" w:hAnsi="Times New Roman" w:cs="Times New Roman"/>
        </w:rPr>
        <w:t xml:space="preserve"> </w:t>
      </w:r>
      <w:r w:rsidR="00A868BA">
        <w:rPr>
          <w:rFonts w:ascii="Times New Roman" w:hAnsi="Times New Roman" w:cs="Times New Roman"/>
        </w:rPr>
        <w:t>в</w:t>
      </w:r>
      <w:r w:rsidR="00F31111" w:rsidRPr="00070192">
        <w:rPr>
          <w:rFonts w:ascii="Times New Roman" w:hAnsi="Times New Roman" w:cs="Times New Roman"/>
        </w:rPr>
        <w:t>не</w:t>
      </w:r>
      <w:r w:rsidR="00C43391" w:rsidRPr="00070192">
        <w:rPr>
          <w:rFonts w:ascii="Times New Roman" w:hAnsi="Times New Roman" w:cs="Times New Roman"/>
        </w:rPr>
        <w:t xml:space="preserve">очередного </w:t>
      </w:r>
      <w:r w:rsidR="00A868BA">
        <w:rPr>
          <w:rFonts w:ascii="Times New Roman" w:hAnsi="Times New Roman" w:cs="Times New Roman"/>
        </w:rPr>
        <w:t>о</w:t>
      </w:r>
      <w:r w:rsidR="00497F96" w:rsidRPr="00070192">
        <w:rPr>
          <w:rFonts w:ascii="Times New Roman" w:hAnsi="Times New Roman" w:cs="Times New Roman"/>
        </w:rPr>
        <w:t xml:space="preserve">бщего </w:t>
      </w:r>
      <w:r w:rsidR="00C43391" w:rsidRPr="00070192">
        <w:rPr>
          <w:rFonts w:ascii="Times New Roman" w:hAnsi="Times New Roman" w:cs="Times New Roman"/>
        </w:rPr>
        <w:t>собрания</w:t>
      </w:r>
      <w:r w:rsidR="00580F85" w:rsidRPr="00070192">
        <w:rPr>
          <w:rFonts w:ascii="Times New Roman" w:hAnsi="Times New Roman" w:cs="Times New Roman"/>
        </w:rPr>
        <w:t xml:space="preserve"> </w:t>
      </w:r>
      <w:r w:rsidR="00C43391" w:rsidRPr="00070192">
        <w:rPr>
          <w:rFonts w:ascii="Times New Roman" w:hAnsi="Times New Roman" w:cs="Times New Roman"/>
        </w:rPr>
        <w:t xml:space="preserve">членов </w:t>
      </w:r>
      <w:r w:rsidR="00F31111" w:rsidRPr="00070192">
        <w:rPr>
          <w:rFonts w:ascii="Times New Roman" w:hAnsi="Times New Roman" w:cs="Times New Roman"/>
        </w:rPr>
        <w:t>Союза</w:t>
      </w:r>
      <w:r w:rsidR="00580F85" w:rsidRPr="00070192">
        <w:rPr>
          <w:rFonts w:ascii="Times New Roman" w:hAnsi="Times New Roman" w:cs="Times New Roman"/>
        </w:rPr>
        <w:t xml:space="preserve"> </w:t>
      </w:r>
      <w:r w:rsidR="00497F96" w:rsidRPr="00070192">
        <w:rPr>
          <w:rFonts w:ascii="Times New Roman" w:hAnsi="Times New Roman" w:cs="Times New Roman"/>
        </w:rPr>
        <w:t>«Саморегулируемая организация</w:t>
      </w:r>
      <w:r w:rsidR="00580F85" w:rsidRPr="00070192">
        <w:rPr>
          <w:rFonts w:ascii="Times New Roman" w:hAnsi="Times New Roman" w:cs="Times New Roman"/>
        </w:rPr>
        <w:t xml:space="preserve"> </w:t>
      </w:r>
      <w:r w:rsidR="00497F96" w:rsidRPr="00070192">
        <w:rPr>
          <w:rFonts w:ascii="Times New Roman" w:hAnsi="Times New Roman" w:cs="Times New Roman"/>
        </w:rPr>
        <w:t>«Межрегиональный альянс строителей»</w:t>
      </w:r>
    </w:p>
    <w:p w:rsidR="009C063A" w:rsidRPr="00070192" w:rsidRDefault="00DF7A90" w:rsidP="00070192">
      <w:pPr>
        <w:spacing w:line="276" w:lineRule="auto"/>
        <w:ind w:left="5387"/>
        <w:rPr>
          <w:rFonts w:ascii="Times New Roman" w:hAnsi="Times New Roman" w:cs="Times New Roman"/>
        </w:rPr>
      </w:pPr>
      <w:r w:rsidRPr="00070192">
        <w:rPr>
          <w:rFonts w:ascii="Times New Roman" w:hAnsi="Times New Roman" w:cs="Times New Roman"/>
        </w:rPr>
        <w:t xml:space="preserve">Протокол № </w:t>
      </w:r>
      <w:r w:rsidR="005D149D">
        <w:rPr>
          <w:rFonts w:ascii="Times New Roman" w:hAnsi="Times New Roman" w:cs="Times New Roman"/>
        </w:rPr>
        <w:t>27</w:t>
      </w:r>
      <w:r w:rsidR="005D149D" w:rsidRPr="00070192">
        <w:rPr>
          <w:rFonts w:ascii="Times New Roman" w:hAnsi="Times New Roman" w:cs="Times New Roman"/>
        </w:rPr>
        <w:t xml:space="preserve"> </w:t>
      </w:r>
      <w:r w:rsidR="009C063A" w:rsidRPr="00070192">
        <w:rPr>
          <w:rFonts w:ascii="Times New Roman" w:hAnsi="Times New Roman" w:cs="Times New Roman"/>
        </w:rPr>
        <w:t xml:space="preserve">от </w:t>
      </w:r>
      <w:r w:rsidR="005D149D">
        <w:rPr>
          <w:rFonts w:ascii="Times New Roman" w:hAnsi="Times New Roman" w:cs="Times New Roman"/>
        </w:rPr>
        <w:t>05</w:t>
      </w:r>
      <w:r w:rsidR="005D149D" w:rsidRPr="00070192">
        <w:rPr>
          <w:rFonts w:ascii="Times New Roman" w:hAnsi="Times New Roman" w:cs="Times New Roman"/>
        </w:rPr>
        <w:t xml:space="preserve"> </w:t>
      </w:r>
      <w:r w:rsidR="005D149D">
        <w:rPr>
          <w:rFonts w:ascii="Times New Roman" w:hAnsi="Times New Roman" w:cs="Times New Roman"/>
        </w:rPr>
        <w:t>декабря</w:t>
      </w:r>
      <w:r w:rsidR="005D149D" w:rsidRPr="00070192">
        <w:rPr>
          <w:rFonts w:ascii="Times New Roman" w:hAnsi="Times New Roman" w:cs="Times New Roman"/>
        </w:rPr>
        <w:t xml:space="preserve"> </w:t>
      </w:r>
      <w:r w:rsidR="00F31111" w:rsidRPr="00070192">
        <w:rPr>
          <w:rFonts w:ascii="Times New Roman" w:hAnsi="Times New Roman" w:cs="Times New Roman"/>
        </w:rPr>
        <w:t xml:space="preserve">2016 </w:t>
      </w:r>
      <w:r w:rsidR="00057070" w:rsidRPr="00070192">
        <w:rPr>
          <w:rFonts w:ascii="Times New Roman" w:hAnsi="Times New Roman" w:cs="Times New Roman"/>
        </w:rPr>
        <w:t>года</w:t>
      </w:r>
    </w:p>
    <w:p w:rsidR="00692ACB" w:rsidRPr="00070192" w:rsidRDefault="00692ACB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92ACB" w:rsidRPr="00070192" w:rsidRDefault="00692ACB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070192" w:rsidRDefault="00692ACB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070192" w:rsidRDefault="00692ACB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070192" w:rsidRDefault="00692ACB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070192" w:rsidRDefault="00C43391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070192" w:rsidRDefault="00C43391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070192" w:rsidRDefault="00C43391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070192" w:rsidRDefault="00692ACB" w:rsidP="00070192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63A" w:rsidRPr="00070192" w:rsidRDefault="00FB3D7E" w:rsidP="000363CF">
      <w:pPr>
        <w:widowControl/>
        <w:tabs>
          <w:tab w:val="left" w:pos="426"/>
        </w:tabs>
        <w:autoSpaceDE/>
        <w:autoSpaceDN/>
        <w:adjustRightInd/>
        <w:spacing w:line="276" w:lineRule="auto"/>
        <w:ind w:left="-1701" w:righ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0192">
        <w:rPr>
          <w:rFonts w:ascii="Times New Roman" w:hAnsi="Times New Roman" w:cs="Times New Roman"/>
          <w:b/>
          <w:sz w:val="44"/>
          <w:szCs w:val="44"/>
        </w:rPr>
        <w:t>ИНВЕСТИЦИО</w:t>
      </w:r>
      <w:r w:rsidR="00692ACB" w:rsidRPr="00070192">
        <w:rPr>
          <w:rFonts w:ascii="Times New Roman" w:hAnsi="Times New Roman" w:cs="Times New Roman"/>
          <w:b/>
          <w:sz w:val="44"/>
          <w:szCs w:val="44"/>
        </w:rPr>
        <w:t>ННАЯ ДЕКЛАРАЦИЯ</w:t>
      </w:r>
    </w:p>
    <w:p w:rsidR="00692ACB" w:rsidRPr="00070192" w:rsidRDefault="00734B0E" w:rsidP="000363CF">
      <w:pPr>
        <w:widowControl/>
        <w:tabs>
          <w:tab w:val="left" w:pos="426"/>
        </w:tabs>
        <w:autoSpaceDE/>
        <w:autoSpaceDN/>
        <w:adjustRightInd/>
        <w:spacing w:line="276" w:lineRule="auto"/>
        <w:ind w:left="-1701" w:righ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0192">
        <w:rPr>
          <w:rFonts w:ascii="Times New Roman" w:hAnsi="Times New Roman" w:cs="Times New Roman"/>
          <w:b/>
          <w:sz w:val="44"/>
          <w:szCs w:val="44"/>
        </w:rPr>
        <w:t xml:space="preserve"> Союза</w:t>
      </w:r>
      <w:r w:rsidR="00A77DB6" w:rsidRPr="0007019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43391" w:rsidRPr="00070192">
        <w:rPr>
          <w:rFonts w:ascii="Times New Roman" w:hAnsi="Times New Roman" w:cs="Times New Roman"/>
          <w:b/>
          <w:sz w:val="44"/>
          <w:szCs w:val="44"/>
        </w:rPr>
        <w:t>«Саморегулируемая организация</w:t>
      </w:r>
      <w:r w:rsidR="00057070" w:rsidRPr="0007019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92ACB" w:rsidRPr="00070192">
        <w:rPr>
          <w:rFonts w:ascii="Times New Roman" w:hAnsi="Times New Roman" w:cs="Times New Roman"/>
          <w:b/>
          <w:sz w:val="44"/>
          <w:szCs w:val="44"/>
        </w:rPr>
        <w:t>«</w:t>
      </w:r>
      <w:r w:rsidR="00C43391" w:rsidRPr="00070192">
        <w:rPr>
          <w:rFonts w:ascii="Times New Roman" w:hAnsi="Times New Roman" w:cs="Times New Roman"/>
          <w:b/>
          <w:sz w:val="44"/>
          <w:szCs w:val="44"/>
        </w:rPr>
        <w:t>Межрегиональный альянс строителей</w:t>
      </w:r>
      <w:r w:rsidR="00692ACB" w:rsidRPr="00070192">
        <w:rPr>
          <w:rFonts w:ascii="Times New Roman" w:hAnsi="Times New Roman" w:cs="Times New Roman"/>
          <w:b/>
          <w:sz w:val="44"/>
          <w:szCs w:val="44"/>
        </w:rPr>
        <w:t>»</w:t>
      </w:r>
    </w:p>
    <w:p w:rsidR="00057070" w:rsidRPr="00070192" w:rsidRDefault="00057070" w:rsidP="000363CF">
      <w:pPr>
        <w:widowControl/>
        <w:tabs>
          <w:tab w:val="left" w:pos="426"/>
        </w:tabs>
        <w:autoSpaceDE/>
        <w:autoSpaceDN/>
        <w:adjustRightInd/>
        <w:spacing w:line="276" w:lineRule="auto"/>
        <w:ind w:left="-1701" w:right="-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0969" w:rsidRPr="00070192" w:rsidRDefault="00620969" w:rsidP="000363CF">
      <w:pPr>
        <w:widowControl/>
        <w:tabs>
          <w:tab w:val="left" w:pos="426"/>
        </w:tabs>
        <w:autoSpaceDE/>
        <w:autoSpaceDN/>
        <w:adjustRightInd/>
        <w:spacing w:line="276" w:lineRule="auto"/>
        <w:ind w:left="-1701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92"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070192" w:rsidRDefault="00692ACB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070192" w:rsidRDefault="00FB3D7E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070192" w:rsidRDefault="00057070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070192" w:rsidRDefault="00FB3D7E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2F" w:rsidRPr="00070192" w:rsidRDefault="00F2572F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2F" w:rsidRPr="00070192" w:rsidRDefault="00F2572F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2F" w:rsidRDefault="00F2572F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8BA" w:rsidRDefault="00A868BA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8BA" w:rsidRPr="00070192" w:rsidRDefault="00A868BA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070192" w:rsidRDefault="00FB3D7E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070192" w:rsidRDefault="00057070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070192" w:rsidRDefault="00057070" w:rsidP="000701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070192" w:rsidRDefault="00F12C1F" w:rsidP="008C04B6">
      <w:pPr>
        <w:spacing w:line="276" w:lineRule="auto"/>
        <w:ind w:left="-1701" w:right="-567"/>
        <w:jc w:val="center"/>
        <w:rPr>
          <w:rFonts w:ascii="Times New Roman" w:hAnsi="Times New Roman" w:cs="Times New Roman"/>
          <w:b/>
        </w:rPr>
      </w:pPr>
      <w:r w:rsidRPr="00070192">
        <w:rPr>
          <w:rFonts w:ascii="Times New Roman" w:hAnsi="Times New Roman" w:cs="Times New Roman"/>
          <w:b/>
        </w:rPr>
        <w:t xml:space="preserve"> </w:t>
      </w:r>
      <w:r w:rsidR="00580F85" w:rsidRPr="00070192">
        <w:rPr>
          <w:rFonts w:ascii="Times New Roman" w:hAnsi="Times New Roman" w:cs="Times New Roman"/>
          <w:b/>
        </w:rPr>
        <w:t>Республика Адыгея</w:t>
      </w:r>
    </w:p>
    <w:p w:rsidR="00057070" w:rsidRPr="00070192" w:rsidRDefault="00580F85" w:rsidP="008C04B6">
      <w:pPr>
        <w:spacing w:line="276" w:lineRule="auto"/>
        <w:ind w:left="-1701" w:right="-567"/>
        <w:jc w:val="center"/>
        <w:rPr>
          <w:rFonts w:ascii="Times New Roman" w:hAnsi="Times New Roman" w:cs="Times New Roman"/>
          <w:b/>
        </w:rPr>
      </w:pPr>
      <w:r w:rsidRPr="00070192">
        <w:rPr>
          <w:rFonts w:ascii="Times New Roman" w:hAnsi="Times New Roman" w:cs="Times New Roman"/>
          <w:b/>
        </w:rPr>
        <w:t>п</w:t>
      </w:r>
      <w:r w:rsidR="00057070" w:rsidRPr="00070192">
        <w:rPr>
          <w:rFonts w:ascii="Times New Roman" w:hAnsi="Times New Roman" w:cs="Times New Roman"/>
          <w:b/>
        </w:rPr>
        <w:t>г</w:t>
      </w:r>
      <w:r w:rsidRPr="00070192">
        <w:rPr>
          <w:rFonts w:ascii="Times New Roman" w:hAnsi="Times New Roman" w:cs="Times New Roman"/>
          <w:b/>
        </w:rPr>
        <w:t>т</w:t>
      </w:r>
      <w:r w:rsidR="00057070" w:rsidRPr="00070192">
        <w:rPr>
          <w:rFonts w:ascii="Times New Roman" w:hAnsi="Times New Roman" w:cs="Times New Roman"/>
          <w:b/>
        </w:rPr>
        <w:t xml:space="preserve">. </w:t>
      </w:r>
      <w:r w:rsidRPr="00070192">
        <w:rPr>
          <w:rFonts w:ascii="Times New Roman" w:hAnsi="Times New Roman" w:cs="Times New Roman"/>
          <w:b/>
        </w:rPr>
        <w:t>Яблоновский</w:t>
      </w:r>
    </w:p>
    <w:p w:rsidR="00057070" w:rsidRPr="00070192" w:rsidRDefault="00F12C1F" w:rsidP="008C04B6">
      <w:pPr>
        <w:spacing w:line="276" w:lineRule="auto"/>
        <w:ind w:left="-1701" w:right="-567"/>
        <w:jc w:val="center"/>
        <w:rPr>
          <w:rFonts w:ascii="Times New Roman" w:hAnsi="Times New Roman" w:cs="Times New Roman"/>
          <w:b/>
        </w:rPr>
      </w:pPr>
      <w:r w:rsidRPr="00070192">
        <w:rPr>
          <w:rFonts w:ascii="Times New Roman" w:hAnsi="Times New Roman" w:cs="Times New Roman"/>
          <w:b/>
        </w:rPr>
        <w:t xml:space="preserve">2016 </w:t>
      </w:r>
      <w:r w:rsidR="00057070" w:rsidRPr="00070192">
        <w:rPr>
          <w:rFonts w:ascii="Times New Roman" w:hAnsi="Times New Roman" w:cs="Times New Roman"/>
          <w:b/>
        </w:rPr>
        <w:t>год</w:t>
      </w:r>
    </w:p>
    <w:p w:rsidR="002B78B6" w:rsidRPr="007479DF" w:rsidRDefault="002B78B6" w:rsidP="007479DF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7479DF">
        <w:rPr>
          <w:rFonts w:ascii="Times New Roman" w:hAnsi="Times New Roman" w:cs="Times New Roman"/>
          <w:b/>
        </w:rPr>
        <w:lastRenderedPageBreak/>
        <w:t>ОБЩИЕ ПОЛОЖЕНИЯ</w:t>
      </w:r>
    </w:p>
    <w:p w:rsidR="002B78B6" w:rsidRPr="007479DF" w:rsidRDefault="002B78B6" w:rsidP="007479DF">
      <w:pPr>
        <w:spacing w:line="276" w:lineRule="auto"/>
        <w:jc w:val="center"/>
        <w:rPr>
          <w:rFonts w:ascii="Times New Roman" w:hAnsi="Times New Roman" w:cs="Times New Roman"/>
        </w:rPr>
      </w:pPr>
    </w:p>
    <w:p w:rsidR="008C563D" w:rsidRPr="007479DF" w:rsidRDefault="00692ACB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Настоящая Инвестиционная декларация устанавливает цель инвестирования средств </w:t>
      </w:r>
      <w:r w:rsidR="005156EB" w:rsidRPr="007479DF">
        <w:rPr>
          <w:rFonts w:ascii="Times New Roman" w:hAnsi="Times New Roman" w:cs="Times New Roman"/>
        </w:rPr>
        <w:t xml:space="preserve">компенсационных фондов </w:t>
      </w:r>
      <w:r w:rsidR="00734B0E" w:rsidRPr="007479DF">
        <w:rPr>
          <w:rFonts w:ascii="Times New Roman" w:hAnsi="Times New Roman" w:cs="Times New Roman"/>
        </w:rPr>
        <w:t>Союза «Саморегулируемая организация «Межрегиональный альянс строителей»</w:t>
      </w:r>
      <w:r w:rsidR="0015049F" w:rsidRPr="007479DF">
        <w:rPr>
          <w:rFonts w:ascii="Times New Roman" w:hAnsi="Times New Roman" w:cs="Times New Roman"/>
        </w:rPr>
        <w:t xml:space="preserve"> (</w:t>
      </w:r>
      <w:r w:rsidR="00FC1644" w:rsidRPr="007479DF">
        <w:rPr>
          <w:rFonts w:ascii="Times New Roman" w:hAnsi="Times New Roman" w:cs="Times New Roman"/>
        </w:rPr>
        <w:t xml:space="preserve">далее </w:t>
      </w:r>
      <w:r w:rsidR="00734B0E" w:rsidRPr="007479DF">
        <w:rPr>
          <w:rFonts w:ascii="Times New Roman" w:hAnsi="Times New Roman" w:cs="Times New Roman"/>
        </w:rPr>
        <w:t>Союз</w:t>
      </w:r>
      <w:r w:rsidR="00FE04DE" w:rsidRPr="007479DF">
        <w:rPr>
          <w:rFonts w:ascii="Times New Roman" w:hAnsi="Times New Roman" w:cs="Times New Roman"/>
        </w:rPr>
        <w:t xml:space="preserve"> или саморегулируемая организация или Союз «СРО «МАС»</w:t>
      </w:r>
      <w:r w:rsidR="0015049F" w:rsidRPr="007479DF">
        <w:rPr>
          <w:rFonts w:ascii="Times New Roman" w:hAnsi="Times New Roman" w:cs="Times New Roman"/>
        </w:rPr>
        <w:t>)</w:t>
      </w:r>
      <w:r w:rsidRPr="007479DF">
        <w:rPr>
          <w:rFonts w:ascii="Times New Roman" w:hAnsi="Times New Roman" w:cs="Times New Roman"/>
        </w:rPr>
        <w:t xml:space="preserve">, состав и структуру средств </w:t>
      </w:r>
      <w:r w:rsidR="005156EB" w:rsidRPr="007479DF">
        <w:rPr>
          <w:rFonts w:ascii="Times New Roman" w:hAnsi="Times New Roman" w:cs="Times New Roman"/>
        </w:rPr>
        <w:t xml:space="preserve">компенсационных фондов </w:t>
      </w:r>
      <w:r w:rsidR="00FC1644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 xml:space="preserve">, ограничения размещения и инвестирования средств </w:t>
      </w:r>
      <w:r w:rsidR="005156EB" w:rsidRPr="007479DF">
        <w:rPr>
          <w:rFonts w:ascii="Times New Roman" w:hAnsi="Times New Roman" w:cs="Times New Roman"/>
        </w:rPr>
        <w:t>компенсационн</w:t>
      </w:r>
      <w:r w:rsidR="00AD65F9" w:rsidRPr="007479DF">
        <w:rPr>
          <w:rFonts w:ascii="Times New Roman" w:hAnsi="Times New Roman" w:cs="Times New Roman"/>
        </w:rPr>
        <w:t>ых</w:t>
      </w:r>
      <w:r w:rsidR="005156EB" w:rsidRPr="007479DF">
        <w:rPr>
          <w:rFonts w:ascii="Times New Roman" w:hAnsi="Times New Roman" w:cs="Times New Roman"/>
        </w:rPr>
        <w:t xml:space="preserve"> фондов </w:t>
      </w:r>
      <w:r w:rsidR="00FC1644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>, правила размещения таких средств и требования к инвестированию.</w:t>
      </w:r>
      <w:r w:rsidR="00D82627" w:rsidRPr="007479DF">
        <w:rPr>
          <w:rFonts w:ascii="Times New Roman" w:hAnsi="Times New Roman" w:cs="Times New Roman"/>
        </w:rPr>
        <w:t xml:space="preserve"> </w:t>
      </w:r>
    </w:p>
    <w:p w:rsidR="008C563D" w:rsidRPr="007479DF" w:rsidRDefault="00CE5FCC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Требования настоящей Инвестиционной д</w:t>
      </w:r>
      <w:r w:rsidR="00692ACB" w:rsidRPr="007479DF">
        <w:rPr>
          <w:rFonts w:ascii="Times New Roman" w:hAnsi="Times New Roman" w:cs="Times New Roman"/>
        </w:rPr>
        <w:t xml:space="preserve">екларации обязательны для соблюдения членами </w:t>
      </w:r>
      <w:r w:rsidR="00734B0E" w:rsidRPr="007479DF">
        <w:rPr>
          <w:rFonts w:ascii="Times New Roman" w:hAnsi="Times New Roman" w:cs="Times New Roman"/>
        </w:rPr>
        <w:t>Союза</w:t>
      </w:r>
      <w:r w:rsidR="00692ACB" w:rsidRPr="007479DF">
        <w:rPr>
          <w:rFonts w:ascii="Times New Roman" w:hAnsi="Times New Roman" w:cs="Times New Roman"/>
        </w:rPr>
        <w:t xml:space="preserve">, органами управления и сотрудниками </w:t>
      </w:r>
      <w:r w:rsidR="00734B0E" w:rsidRPr="007479DF">
        <w:rPr>
          <w:rFonts w:ascii="Times New Roman" w:hAnsi="Times New Roman" w:cs="Times New Roman"/>
        </w:rPr>
        <w:t>Союза</w:t>
      </w:r>
      <w:r w:rsidR="00692ACB" w:rsidRPr="007479DF">
        <w:rPr>
          <w:rFonts w:ascii="Times New Roman" w:hAnsi="Times New Roman" w:cs="Times New Roman"/>
        </w:rPr>
        <w:t>.</w:t>
      </w:r>
    </w:p>
    <w:p w:rsidR="008C563D" w:rsidRPr="007479DF" w:rsidRDefault="008C563D" w:rsidP="007479DF">
      <w:pPr>
        <w:spacing w:line="276" w:lineRule="auto"/>
        <w:rPr>
          <w:rFonts w:ascii="Times New Roman" w:hAnsi="Times New Roman" w:cs="Times New Roman"/>
        </w:rPr>
      </w:pPr>
    </w:p>
    <w:p w:rsidR="0079291C" w:rsidRPr="007479DF" w:rsidRDefault="00AA1925" w:rsidP="007479DF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479DF">
        <w:rPr>
          <w:rFonts w:ascii="Times New Roman" w:hAnsi="Times New Roman" w:cs="Times New Roman"/>
          <w:b/>
        </w:rPr>
        <w:t>ПРАВОВОЕ РЕГУЛИРОВАНИЕ</w:t>
      </w:r>
    </w:p>
    <w:p w:rsidR="0079291C" w:rsidRPr="007479DF" w:rsidRDefault="0079291C" w:rsidP="007479DF">
      <w:pPr>
        <w:pStyle w:val="a8"/>
        <w:tabs>
          <w:tab w:val="left" w:pos="284"/>
        </w:tabs>
        <w:spacing w:line="276" w:lineRule="auto"/>
        <w:ind w:left="0"/>
        <w:contextualSpacing w:val="0"/>
        <w:rPr>
          <w:rFonts w:ascii="Times New Roman" w:hAnsi="Times New Roman" w:cs="Times New Roman"/>
          <w:b/>
        </w:rPr>
      </w:pPr>
    </w:p>
    <w:p w:rsidR="00D95025" w:rsidRPr="007479DF" w:rsidRDefault="00CD7549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Настоящая</w:t>
      </w:r>
      <w:r w:rsidR="00692ACB" w:rsidRPr="007479DF">
        <w:rPr>
          <w:rFonts w:ascii="Times New Roman" w:hAnsi="Times New Roman" w:cs="Times New Roman"/>
        </w:rPr>
        <w:t xml:space="preserve"> </w:t>
      </w:r>
      <w:r w:rsidRPr="007479DF">
        <w:rPr>
          <w:rFonts w:ascii="Times New Roman" w:hAnsi="Times New Roman" w:cs="Times New Roman"/>
        </w:rPr>
        <w:t>Инвестиционная декларация</w:t>
      </w:r>
      <w:r w:rsidR="00692ACB" w:rsidRPr="007479DF">
        <w:rPr>
          <w:rFonts w:ascii="Times New Roman" w:hAnsi="Times New Roman" w:cs="Times New Roman"/>
        </w:rPr>
        <w:t xml:space="preserve"> </w:t>
      </w:r>
      <w:r w:rsidR="00AA1925" w:rsidRPr="007479DF">
        <w:rPr>
          <w:rFonts w:ascii="Times New Roman" w:hAnsi="Times New Roman" w:cs="Times New Roman"/>
        </w:rPr>
        <w:t>основан</w:t>
      </w:r>
      <w:r w:rsidRPr="007479DF">
        <w:rPr>
          <w:rFonts w:ascii="Times New Roman" w:hAnsi="Times New Roman" w:cs="Times New Roman"/>
        </w:rPr>
        <w:t>а</w:t>
      </w:r>
      <w:r w:rsidR="00AA1925" w:rsidRPr="007479DF">
        <w:rPr>
          <w:rFonts w:ascii="Times New Roman" w:hAnsi="Times New Roman" w:cs="Times New Roman"/>
        </w:rPr>
        <w:t xml:space="preserve"> на </w:t>
      </w:r>
      <w:r w:rsidR="00692ACB" w:rsidRPr="007479DF">
        <w:rPr>
          <w:rFonts w:ascii="Times New Roman" w:hAnsi="Times New Roman" w:cs="Times New Roman"/>
        </w:rPr>
        <w:t>следующи</w:t>
      </w:r>
      <w:r w:rsidR="00AA1925" w:rsidRPr="007479DF">
        <w:rPr>
          <w:rFonts w:ascii="Times New Roman" w:hAnsi="Times New Roman" w:cs="Times New Roman"/>
        </w:rPr>
        <w:t>х</w:t>
      </w:r>
      <w:r w:rsidR="00692ACB" w:rsidRPr="007479DF">
        <w:rPr>
          <w:rFonts w:ascii="Times New Roman" w:hAnsi="Times New Roman" w:cs="Times New Roman"/>
        </w:rPr>
        <w:t xml:space="preserve"> </w:t>
      </w:r>
      <w:r w:rsidR="00AA1925" w:rsidRPr="007479DF">
        <w:rPr>
          <w:rFonts w:ascii="Times New Roman" w:hAnsi="Times New Roman" w:cs="Times New Roman"/>
        </w:rPr>
        <w:t>документах</w:t>
      </w:r>
      <w:r w:rsidR="00692ACB" w:rsidRPr="007479DF">
        <w:rPr>
          <w:rFonts w:ascii="Times New Roman" w:hAnsi="Times New Roman" w:cs="Times New Roman"/>
        </w:rPr>
        <w:t>:</w:t>
      </w:r>
    </w:p>
    <w:p w:rsidR="00692ACB" w:rsidRPr="007479DF" w:rsidRDefault="00AA1925" w:rsidP="007479DF">
      <w:pPr>
        <w:pStyle w:val="a8"/>
        <w:numPr>
          <w:ilvl w:val="3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Градостроительный кодекс Российской Федерации</w:t>
      </w:r>
      <w:r w:rsidR="00C84AEE" w:rsidRPr="007479DF">
        <w:rPr>
          <w:rFonts w:ascii="Times New Roman" w:hAnsi="Times New Roman" w:cs="Times New Roman"/>
        </w:rPr>
        <w:t>;</w:t>
      </w:r>
    </w:p>
    <w:p w:rsidR="00692ACB" w:rsidRPr="007479DF" w:rsidRDefault="00AA1925" w:rsidP="007479DF">
      <w:pPr>
        <w:pStyle w:val="a8"/>
        <w:numPr>
          <w:ilvl w:val="3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Федеральный закон от 01 </w:t>
      </w:r>
      <w:r w:rsidR="00692ACB" w:rsidRPr="007479DF">
        <w:rPr>
          <w:rFonts w:ascii="Times New Roman" w:hAnsi="Times New Roman" w:cs="Times New Roman"/>
        </w:rPr>
        <w:t>декабря 2007 г. № 315-ФЗ «О</w:t>
      </w:r>
      <w:r w:rsidR="00C84AEE" w:rsidRPr="007479DF">
        <w:rPr>
          <w:rFonts w:ascii="Times New Roman" w:hAnsi="Times New Roman" w:cs="Times New Roman"/>
        </w:rPr>
        <w:t xml:space="preserve"> саморегулируемых организациях»;</w:t>
      </w:r>
    </w:p>
    <w:p w:rsidR="00C84AEE" w:rsidRPr="007479DF" w:rsidRDefault="00C84AEE" w:rsidP="007479DF">
      <w:pPr>
        <w:pStyle w:val="a8"/>
        <w:numPr>
          <w:ilvl w:val="3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Федеральный закон от 23.12.2003 г. 177- ФЗ «О страховании вкладов физических лиц в банках Российской Федерации»;</w:t>
      </w:r>
    </w:p>
    <w:p w:rsidR="00692ACB" w:rsidRPr="007479DF" w:rsidRDefault="00692ACB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Устав </w:t>
      </w:r>
      <w:r w:rsidR="00FC1644" w:rsidRPr="007479DF">
        <w:rPr>
          <w:rFonts w:ascii="Times New Roman" w:hAnsi="Times New Roman" w:cs="Times New Roman"/>
        </w:rPr>
        <w:t>Союза</w:t>
      </w:r>
      <w:r w:rsidR="00C84AEE" w:rsidRPr="007479DF">
        <w:rPr>
          <w:rFonts w:ascii="Times New Roman" w:hAnsi="Times New Roman" w:cs="Times New Roman"/>
        </w:rPr>
        <w:t>;</w:t>
      </w:r>
    </w:p>
    <w:p w:rsidR="00692ACB" w:rsidRPr="007479DF" w:rsidRDefault="006F64C9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hyperlink r:id="rId8" w:history="1">
        <w:r w:rsidR="00692ACB" w:rsidRPr="007479DF">
          <w:rPr>
            <w:rFonts w:ascii="Times New Roman" w:eastAsiaTheme="minorEastAsia" w:hAnsi="Times New Roman" w:cs="Times New Roman"/>
            <w:color w:val="000000" w:themeColor="text1"/>
          </w:rPr>
          <w:t xml:space="preserve">Правила обеспечения имущественной ответственности членов </w:t>
        </w:r>
      </w:hyperlink>
      <w:r w:rsidR="00FC1644" w:rsidRPr="007479DF">
        <w:rPr>
          <w:rFonts w:ascii="Times New Roman" w:eastAsiaTheme="minorEastAsia" w:hAnsi="Times New Roman" w:cs="Times New Roman"/>
          <w:color w:val="000000" w:themeColor="text1"/>
        </w:rPr>
        <w:t>Союза</w:t>
      </w:r>
      <w:r w:rsidR="00BA098B" w:rsidRPr="007479D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AA1925" w:rsidRPr="007479DF" w:rsidRDefault="00AA1925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  <w:color w:val="000000" w:themeColor="text1"/>
        </w:rPr>
        <w:t>Положение о компенсационном фонде</w:t>
      </w:r>
      <w:r w:rsidR="00E228AA" w:rsidRPr="007479DF">
        <w:rPr>
          <w:rFonts w:ascii="Times New Roman" w:eastAsiaTheme="minorEastAsia" w:hAnsi="Times New Roman" w:cs="Times New Roman"/>
          <w:color w:val="000000" w:themeColor="text1"/>
        </w:rPr>
        <w:t xml:space="preserve"> возмещения вреда</w:t>
      </w:r>
      <w:r w:rsidRPr="007479DF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FC1644" w:rsidRPr="007479DF">
        <w:rPr>
          <w:rFonts w:ascii="Times New Roman" w:eastAsiaTheme="minorEastAsia" w:hAnsi="Times New Roman" w:cs="Times New Roman"/>
          <w:color w:val="000000" w:themeColor="text1"/>
        </w:rPr>
        <w:t>Союза</w:t>
      </w:r>
      <w:r w:rsidRPr="007479D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E228AA" w:rsidRPr="007479DF" w:rsidRDefault="00E228AA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  <w:color w:val="000000" w:themeColor="text1"/>
        </w:rPr>
        <w:t>Положение о компенсационном фонде обеспечения договорных обязательств Союза;</w:t>
      </w:r>
    </w:p>
    <w:p w:rsidR="00D050A9" w:rsidRPr="007479DF" w:rsidRDefault="00D050A9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  <w:color w:val="000000" w:themeColor="text1"/>
        </w:rPr>
        <w:t>Закон РСФСР от 26.06.1991 г. № 1488-1 «Об инвестиционной деятельности в РСФСР»</w:t>
      </w:r>
      <w:r w:rsidR="00747502" w:rsidRPr="007479D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747502" w:rsidRPr="007479DF" w:rsidRDefault="00747502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  <w:color w:val="000000" w:themeColor="text1"/>
        </w:rPr>
        <w:t>Федеральный закон Российской Федерации № 39-ФЗ от 22.04.1996 г. «О рынке ценных бумаг»;</w:t>
      </w:r>
    </w:p>
    <w:p w:rsidR="008F3681" w:rsidRPr="007479DF" w:rsidRDefault="008F3681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Федеральный закон от 7 июня 2013 года N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организаций»;</w:t>
      </w:r>
    </w:p>
    <w:p w:rsidR="00747502" w:rsidRPr="007479DF" w:rsidRDefault="00747502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  <w:color w:val="000000" w:themeColor="text1"/>
        </w:rPr>
        <w:t>иные нормативные акты Российской Федерации;</w:t>
      </w:r>
    </w:p>
    <w:p w:rsidR="00747502" w:rsidRPr="007479DF" w:rsidRDefault="00747502" w:rsidP="007479DF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  <w:color w:val="000000" w:themeColor="text1"/>
        </w:rPr>
        <w:t xml:space="preserve">иные внутренние документы </w:t>
      </w:r>
      <w:r w:rsidR="00FC1644" w:rsidRPr="007479DF">
        <w:rPr>
          <w:rFonts w:ascii="Times New Roman" w:eastAsiaTheme="minorEastAsia" w:hAnsi="Times New Roman" w:cs="Times New Roman"/>
          <w:color w:val="000000" w:themeColor="text1"/>
        </w:rPr>
        <w:t>Союза</w:t>
      </w:r>
      <w:r w:rsidR="002E291B" w:rsidRPr="007479DF">
        <w:rPr>
          <w:rFonts w:ascii="Times New Roman" w:eastAsiaTheme="minorEastAsia" w:hAnsi="Times New Roman" w:cs="Times New Roman"/>
          <w:color w:val="000000" w:themeColor="text1"/>
        </w:rPr>
        <w:t>.</w:t>
      </w:r>
    </w:p>
    <w:p w:rsidR="00692ACB" w:rsidRPr="007479DF" w:rsidRDefault="00692ACB" w:rsidP="007479DF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692ACB" w:rsidRPr="007479DF" w:rsidRDefault="00692ACB" w:rsidP="007479DF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479DF">
        <w:rPr>
          <w:rFonts w:ascii="Times New Roman" w:hAnsi="Times New Roman" w:cs="Times New Roman"/>
          <w:b/>
        </w:rPr>
        <w:t>ТЕРМИНЫ И ОПРЕДЕЛЕНИЯ</w:t>
      </w:r>
    </w:p>
    <w:p w:rsidR="00733E8E" w:rsidRPr="007479DF" w:rsidRDefault="00733E8E" w:rsidP="007479D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92ACB" w:rsidRPr="007479DF" w:rsidRDefault="00692ACB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Для целей настояще</w:t>
      </w:r>
      <w:r w:rsidR="00245CA2" w:rsidRPr="007479DF">
        <w:rPr>
          <w:rFonts w:ascii="Times New Roman" w:hAnsi="Times New Roman" w:cs="Times New Roman"/>
        </w:rPr>
        <w:t>й</w:t>
      </w:r>
      <w:r w:rsidRPr="007479DF">
        <w:rPr>
          <w:rFonts w:ascii="Times New Roman" w:hAnsi="Times New Roman" w:cs="Times New Roman"/>
        </w:rPr>
        <w:t xml:space="preserve"> </w:t>
      </w:r>
      <w:r w:rsidR="00245CA2" w:rsidRPr="007479DF">
        <w:rPr>
          <w:rFonts w:ascii="Times New Roman" w:hAnsi="Times New Roman" w:cs="Times New Roman"/>
        </w:rPr>
        <w:t>Инвестиционной декларации</w:t>
      </w:r>
      <w:r w:rsidRPr="007479DF">
        <w:rPr>
          <w:rFonts w:ascii="Times New Roman" w:hAnsi="Times New Roman" w:cs="Times New Roman"/>
        </w:rPr>
        <w:t xml:space="preserve"> используются следующие основные понятия, термины и определения:</w:t>
      </w:r>
    </w:p>
    <w:p w:rsidR="00560B89" w:rsidRPr="007479DF" w:rsidRDefault="00560B89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  <w:b/>
        </w:rPr>
        <w:t>инвестиционная декларация</w:t>
      </w:r>
      <w:r w:rsidR="00EC2776" w:rsidRPr="007479DF">
        <w:rPr>
          <w:rFonts w:ascii="Times New Roman" w:hAnsi="Times New Roman" w:cs="Times New Roman"/>
          <w:b/>
        </w:rPr>
        <w:t xml:space="preserve"> </w:t>
      </w:r>
      <w:r w:rsidR="000D1438" w:rsidRPr="007479DF">
        <w:rPr>
          <w:rFonts w:ascii="Times New Roman" w:hAnsi="Times New Roman" w:cs="Times New Roman"/>
        </w:rPr>
        <w:t>–</w:t>
      </w:r>
      <w:r w:rsidRPr="007479DF">
        <w:rPr>
          <w:rFonts w:ascii="Times New Roman" w:hAnsi="Times New Roman" w:cs="Times New Roman"/>
        </w:rPr>
        <w:t xml:space="preserve"> документ, определяющий правила размещения средств </w:t>
      </w:r>
      <w:r w:rsidR="00FE04DE" w:rsidRPr="007479DF">
        <w:rPr>
          <w:rFonts w:ascii="Times New Roman" w:hAnsi="Times New Roman" w:cs="Times New Roman"/>
        </w:rPr>
        <w:t xml:space="preserve">компенсационных фондов </w:t>
      </w:r>
      <w:r w:rsidR="00734B0E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 xml:space="preserve"> и требования к их размещению;</w:t>
      </w:r>
    </w:p>
    <w:p w:rsidR="00692ACB" w:rsidRPr="007479DF" w:rsidRDefault="00692ACB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  <w:b/>
        </w:rPr>
        <w:t>инвестиционный портфель</w:t>
      </w:r>
      <w:r w:rsidR="009372FE" w:rsidRPr="007479DF">
        <w:rPr>
          <w:rFonts w:ascii="Times New Roman" w:hAnsi="Times New Roman" w:cs="Times New Roman"/>
        </w:rPr>
        <w:t xml:space="preserve"> </w:t>
      </w:r>
      <w:r w:rsidR="000D1438" w:rsidRPr="007479DF">
        <w:rPr>
          <w:rFonts w:ascii="Times New Roman" w:hAnsi="Times New Roman" w:cs="Times New Roman"/>
        </w:rPr>
        <w:t>–</w:t>
      </w:r>
      <w:r w:rsidR="009372FE" w:rsidRPr="007479DF">
        <w:rPr>
          <w:rFonts w:ascii="Times New Roman" w:hAnsi="Times New Roman" w:cs="Times New Roman"/>
        </w:rPr>
        <w:t xml:space="preserve"> совокупность активов, в которые вкладываются средства </w:t>
      </w:r>
      <w:r w:rsidR="00FE04DE" w:rsidRPr="007479DF">
        <w:rPr>
          <w:rFonts w:ascii="Times New Roman" w:hAnsi="Times New Roman" w:cs="Times New Roman"/>
        </w:rPr>
        <w:t>компенсационных фондо</w:t>
      </w:r>
      <w:r w:rsidR="00AD65F9" w:rsidRPr="007479DF">
        <w:rPr>
          <w:rFonts w:ascii="Times New Roman" w:hAnsi="Times New Roman" w:cs="Times New Roman"/>
        </w:rPr>
        <w:t>в</w:t>
      </w:r>
      <w:r w:rsidR="00FE04DE" w:rsidRPr="007479DF">
        <w:rPr>
          <w:rFonts w:ascii="Times New Roman" w:hAnsi="Times New Roman" w:cs="Times New Roman"/>
        </w:rPr>
        <w:t xml:space="preserve"> </w:t>
      </w:r>
      <w:r w:rsidR="00734B0E" w:rsidRPr="007479DF">
        <w:rPr>
          <w:rFonts w:ascii="Times New Roman" w:hAnsi="Times New Roman" w:cs="Times New Roman"/>
        </w:rPr>
        <w:t>Союза</w:t>
      </w:r>
      <w:r w:rsidR="00560B89" w:rsidRPr="007479DF">
        <w:rPr>
          <w:rFonts w:ascii="Times New Roman" w:hAnsi="Times New Roman" w:cs="Times New Roman"/>
        </w:rPr>
        <w:t>;</w:t>
      </w:r>
    </w:p>
    <w:p w:rsidR="00FE04DE" w:rsidRPr="007479DF" w:rsidRDefault="00FE04DE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  <w:b/>
        </w:rPr>
        <w:t>активы</w:t>
      </w:r>
      <w:r w:rsidRPr="007479DF">
        <w:rPr>
          <w:rFonts w:ascii="Times New Roman" w:hAnsi="Times New Roman" w:cs="Times New Roman"/>
        </w:rPr>
        <w:t xml:space="preserve"> </w:t>
      </w:r>
      <w:r w:rsidR="000D1438" w:rsidRPr="007479DF">
        <w:rPr>
          <w:rFonts w:ascii="Times New Roman" w:hAnsi="Times New Roman" w:cs="Times New Roman"/>
        </w:rPr>
        <w:t>–</w:t>
      </w:r>
      <w:r w:rsidRPr="007479DF">
        <w:rPr>
          <w:rFonts w:ascii="Times New Roman" w:hAnsi="Times New Roman" w:cs="Times New Roman"/>
        </w:rPr>
        <w:t xml:space="preserve"> денежные средства компенсационных фондов Союза размещенные (инвестированные) способами, разрешенными законодательством Российской Федерации;</w:t>
      </w:r>
    </w:p>
    <w:p w:rsidR="00FE04DE" w:rsidRPr="007479DF" w:rsidRDefault="00FE04DE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  <w:b/>
        </w:rPr>
        <w:t>специальный банковский счет</w:t>
      </w:r>
      <w:r w:rsidRPr="007479DF">
        <w:rPr>
          <w:rFonts w:ascii="Times New Roman" w:hAnsi="Times New Roman" w:cs="Times New Roman"/>
        </w:rPr>
        <w:t xml:space="preserve"> - специальный  счет открытый банком в порядке, установленном банковскими правилами и договором специального банковского счета для вкладчика, на котором осуществляется размещение денежных средств  соответствующего </w:t>
      </w:r>
      <w:r w:rsidRPr="007479DF">
        <w:rPr>
          <w:rFonts w:ascii="Times New Roman" w:hAnsi="Times New Roman" w:cs="Times New Roman"/>
        </w:rPr>
        <w:lastRenderedPageBreak/>
        <w:t>вида компенсационного фонда</w:t>
      </w:r>
      <w:r w:rsidR="00AD65F9" w:rsidRPr="007479DF">
        <w:rPr>
          <w:rFonts w:ascii="Times New Roman" w:hAnsi="Times New Roman" w:cs="Times New Roman"/>
        </w:rPr>
        <w:t>;</w:t>
      </w:r>
    </w:p>
    <w:p w:rsidR="00692ACB" w:rsidRPr="007479DF" w:rsidRDefault="00692ACB" w:rsidP="007479DF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7479DF">
        <w:rPr>
          <w:rFonts w:ascii="Times New Roman" w:hAnsi="Times New Roman" w:cs="Times New Roman"/>
          <w:b/>
        </w:rPr>
        <w:t>российская кредитная организация</w:t>
      </w:r>
      <w:r w:rsidR="00EC2776" w:rsidRPr="007479DF">
        <w:rPr>
          <w:rFonts w:ascii="Times New Roman" w:hAnsi="Times New Roman" w:cs="Times New Roman"/>
          <w:b/>
        </w:rPr>
        <w:t xml:space="preserve"> </w:t>
      </w:r>
      <w:r w:rsidR="000D1438" w:rsidRPr="007479DF">
        <w:rPr>
          <w:rFonts w:ascii="Times New Roman" w:hAnsi="Times New Roman" w:cs="Times New Roman"/>
        </w:rPr>
        <w:t>–</w:t>
      </w:r>
      <w:r w:rsidR="00D06816" w:rsidRPr="007479DF">
        <w:rPr>
          <w:rFonts w:ascii="Times New Roman" w:eastAsiaTheme="minorEastAsia" w:hAnsi="Times New Roman" w:cs="Times New Roman"/>
        </w:rPr>
        <w:t xml:space="preserve"> </w:t>
      </w:r>
      <w:r w:rsidR="00D06816" w:rsidRPr="007479DF">
        <w:rPr>
          <w:rFonts w:ascii="Times New Roman" w:eastAsiaTheme="minorEastAsia" w:hAnsi="Times New Roman" w:cs="Times New Roman"/>
          <w:color w:val="000000" w:themeColor="text1"/>
        </w:rPr>
        <w:t>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Российской Федерации (Банка России) имеет право осуществлять банковские операции, предусмот</w:t>
      </w:r>
      <w:r w:rsidR="00D95025" w:rsidRPr="007479DF">
        <w:rPr>
          <w:rFonts w:ascii="Times New Roman" w:eastAsiaTheme="minorEastAsia" w:hAnsi="Times New Roman" w:cs="Times New Roman"/>
          <w:color w:val="000000" w:themeColor="text1"/>
        </w:rPr>
        <w:t xml:space="preserve">ренные Федеральными </w:t>
      </w:r>
      <w:r w:rsidR="00EC2776" w:rsidRPr="007479DF">
        <w:rPr>
          <w:rFonts w:ascii="Times New Roman" w:eastAsiaTheme="minorEastAsia" w:hAnsi="Times New Roman" w:cs="Times New Roman"/>
          <w:color w:val="000000" w:themeColor="text1"/>
        </w:rPr>
        <w:t>законами</w:t>
      </w:r>
      <w:r w:rsidR="00D95025" w:rsidRPr="007479DF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92517E" w:rsidRPr="007479DF">
        <w:rPr>
          <w:rFonts w:ascii="Times New Roman" w:eastAsiaTheme="minorEastAsia" w:hAnsi="Times New Roman" w:cs="Times New Roman"/>
          <w:color w:val="000000" w:themeColor="text1"/>
        </w:rPr>
        <w:t>Российской Федерации</w:t>
      </w:r>
      <w:r w:rsidR="00D95025" w:rsidRPr="007479D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2425D9" w:rsidRPr="007479DF" w:rsidRDefault="002425D9" w:rsidP="007479D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479DF">
        <w:rPr>
          <w:rFonts w:ascii="Times New Roman" w:hAnsi="Times New Roman" w:cs="Times New Roman"/>
          <w:b/>
          <w:color w:val="000000" w:themeColor="text1"/>
        </w:rPr>
        <w:t>управляющая компания</w:t>
      </w:r>
      <w:r w:rsidRPr="007479DF">
        <w:rPr>
          <w:rFonts w:ascii="Times New Roman" w:hAnsi="Times New Roman" w:cs="Times New Roman"/>
          <w:color w:val="000000" w:themeColor="text1"/>
        </w:rPr>
        <w:t xml:space="preserve"> </w:t>
      </w:r>
      <w:r w:rsidR="000D1438" w:rsidRPr="007479DF">
        <w:rPr>
          <w:rFonts w:ascii="Times New Roman" w:hAnsi="Times New Roman" w:cs="Times New Roman"/>
          <w:color w:val="000000" w:themeColor="text1"/>
        </w:rPr>
        <w:t>–</w:t>
      </w:r>
      <w:r w:rsidRPr="007479DF">
        <w:rPr>
          <w:rFonts w:ascii="Times New Roman" w:hAnsi="Times New Roman" w:cs="Times New Roman"/>
          <w:color w:val="000000" w:themeColor="text1"/>
        </w:rPr>
        <w:t xml:space="preserve"> компания, имеющая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</w:t>
      </w:r>
      <w:r w:rsidR="00AD65F9" w:rsidRPr="007479DF">
        <w:rPr>
          <w:rFonts w:ascii="Times New Roman" w:hAnsi="Times New Roman" w:cs="Times New Roman"/>
          <w:color w:val="000000" w:themeColor="text1"/>
        </w:rPr>
        <w:t>арственными пенсионными фондами;</w:t>
      </w:r>
    </w:p>
    <w:p w:rsidR="002425D9" w:rsidRPr="007479DF" w:rsidRDefault="002425D9" w:rsidP="007479D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479DF">
        <w:rPr>
          <w:rFonts w:ascii="Times New Roman" w:hAnsi="Times New Roman" w:cs="Times New Roman"/>
          <w:b/>
          <w:color w:val="000000" w:themeColor="text1"/>
        </w:rPr>
        <w:t>иные денежные средства</w:t>
      </w:r>
      <w:r w:rsidRPr="007479DF">
        <w:rPr>
          <w:rFonts w:ascii="Times New Roman" w:hAnsi="Times New Roman" w:cs="Times New Roman"/>
          <w:color w:val="000000" w:themeColor="text1"/>
        </w:rPr>
        <w:t xml:space="preserve"> - собственные и иные денежные средства Союза, не являющиеся денежными средствами компенсационн</w:t>
      </w:r>
      <w:r w:rsidR="00E1182C" w:rsidRPr="007479DF">
        <w:rPr>
          <w:rFonts w:ascii="Times New Roman" w:hAnsi="Times New Roman" w:cs="Times New Roman"/>
          <w:color w:val="000000" w:themeColor="text1"/>
        </w:rPr>
        <w:t>ых</w:t>
      </w:r>
      <w:r w:rsidRPr="007479DF">
        <w:rPr>
          <w:rFonts w:ascii="Times New Roman" w:hAnsi="Times New Roman" w:cs="Times New Roman"/>
          <w:color w:val="000000" w:themeColor="text1"/>
        </w:rPr>
        <w:t xml:space="preserve"> фонд</w:t>
      </w:r>
      <w:r w:rsidR="00E1182C" w:rsidRPr="007479DF">
        <w:rPr>
          <w:rFonts w:ascii="Times New Roman" w:hAnsi="Times New Roman" w:cs="Times New Roman"/>
          <w:color w:val="000000" w:themeColor="text1"/>
        </w:rPr>
        <w:t>ов</w:t>
      </w:r>
      <w:r w:rsidR="00AD65F9" w:rsidRPr="007479DF">
        <w:rPr>
          <w:rFonts w:ascii="Times New Roman" w:hAnsi="Times New Roman" w:cs="Times New Roman"/>
          <w:color w:val="000000" w:themeColor="text1"/>
        </w:rPr>
        <w:t>;</w:t>
      </w:r>
    </w:p>
    <w:p w:rsidR="002425D9" w:rsidRPr="007479DF" w:rsidRDefault="00AD65F9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  <w:b/>
        </w:rPr>
        <w:t xml:space="preserve">компенсационный </w:t>
      </w:r>
      <w:r w:rsidR="002425D9" w:rsidRPr="007479DF">
        <w:rPr>
          <w:rFonts w:ascii="Times New Roman" w:hAnsi="Times New Roman" w:cs="Times New Roman"/>
          <w:b/>
        </w:rPr>
        <w:t>фонд возмещения вреда</w:t>
      </w:r>
      <w:r w:rsidR="002425D9" w:rsidRPr="007479DF">
        <w:rPr>
          <w:rFonts w:ascii="Times New Roman" w:hAnsi="Times New Roman" w:cs="Times New Roman"/>
        </w:rPr>
        <w:t xml:space="preserve"> – обособленное имущество саморегулируемой организации, формируемое  саморегулируемой организацией в денежной форме из средств поступивших от членов саморегулируемой организации или третьих лиц, в случаях, предусмотренных законодательством  Российской Федерации,  в счет оплаты взноса в компен</w:t>
      </w:r>
      <w:r w:rsidRPr="007479DF">
        <w:rPr>
          <w:rFonts w:ascii="Times New Roman" w:hAnsi="Times New Roman" w:cs="Times New Roman"/>
        </w:rPr>
        <w:t>сационный фонд возмещения вреда;</w:t>
      </w:r>
    </w:p>
    <w:p w:rsidR="002425D9" w:rsidRPr="007479DF" w:rsidRDefault="00AD65F9" w:rsidP="007479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  <w:b/>
        </w:rPr>
        <w:t xml:space="preserve">компенсационный </w:t>
      </w:r>
      <w:r w:rsidR="002425D9" w:rsidRPr="007479DF">
        <w:rPr>
          <w:rFonts w:ascii="Times New Roman" w:hAnsi="Times New Roman" w:cs="Times New Roman"/>
          <w:b/>
        </w:rPr>
        <w:t>фонд обеспечения договорных обязательств</w:t>
      </w:r>
      <w:r w:rsidR="002425D9" w:rsidRPr="007479DF">
        <w:rPr>
          <w:rFonts w:ascii="Times New Roman" w:hAnsi="Times New Roman" w:cs="Times New Roman"/>
        </w:rPr>
        <w:t xml:space="preserve"> – обособленное  имущество саморегулируемой организации, дополнительно формируемое  саморегулируемой организацией в денежной форме из средств поступивших от членов саморегулируемой организации или третьих лиц, в случаях, предусмотренных законодательством  Российской Федерации,  в счет оплаты взноса в компенсационный фонд обеспечения договорных обязательств.</w:t>
      </w:r>
    </w:p>
    <w:p w:rsidR="00692ACB" w:rsidRPr="007479DF" w:rsidRDefault="00692ACB" w:rsidP="007479DF">
      <w:pPr>
        <w:spacing w:line="276" w:lineRule="auto"/>
        <w:jc w:val="center"/>
        <w:rPr>
          <w:rFonts w:ascii="Times New Roman" w:hAnsi="Times New Roman" w:cs="Times New Roman"/>
        </w:rPr>
      </w:pPr>
    </w:p>
    <w:p w:rsidR="00D95025" w:rsidRPr="007479DF" w:rsidRDefault="00D95025" w:rsidP="007479DF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479DF">
        <w:rPr>
          <w:rFonts w:ascii="Times New Roman" w:hAnsi="Times New Roman" w:cs="Times New Roman"/>
          <w:b/>
        </w:rPr>
        <w:t>ЦЕЛИ И ОСНОВНЫЕ ПРИНЦИПЫ ИНВЕСТИРОВАНИЯ</w:t>
      </w:r>
      <w:r w:rsidR="00245BFD" w:rsidRPr="007479DF">
        <w:rPr>
          <w:rFonts w:ascii="Times New Roman" w:hAnsi="Times New Roman" w:cs="Times New Roman"/>
          <w:b/>
        </w:rPr>
        <w:t xml:space="preserve"> </w:t>
      </w:r>
      <w:r w:rsidR="002425D9" w:rsidRPr="007479DF">
        <w:rPr>
          <w:rFonts w:ascii="Times New Roman" w:hAnsi="Times New Roman" w:cs="Times New Roman"/>
          <w:b/>
        </w:rPr>
        <w:t xml:space="preserve">КОМПЕНСАЦИОННЫХ ФОНДОВ </w:t>
      </w:r>
      <w:r w:rsidR="00734B0E" w:rsidRPr="007479DF">
        <w:rPr>
          <w:rFonts w:ascii="Times New Roman" w:hAnsi="Times New Roman" w:cs="Times New Roman"/>
          <w:b/>
        </w:rPr>
        <w:t>СОЮЗА</w:t>
      </w:r>
    </w:p>
    <w:p w:rsidR="00294E90" w:rsidRPr="007479DF" w:rsidRDefault="00294E90" w:rsidP="007479DF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245BFD" w:rsidRPr="007479DF" w:rsidRDefault="00772BE0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Целью инвестирования средств </w:t>
      </w:r>
      <w:r w:rsidR="002425D9" w:rsidRPr="007479DF">
        <w:rPr>
          <w:rFonts w:ascii="Times New Roman" w:hAnsi="Times New Roman" w:cs="Times New Roman"/>
        </w:rPr>
        <w:t xml:space="preserve">компенсационных фондов </w:t>
      </w:r>
      <w:r w:rsidR="00734B0E" w:rsidRPr="007479DF">
        <w:rPr>
          <w:rFonts w:ascii="Times New Roman" w:hAnsi="Times New Roman" w:cs="Times New Roman"/>
        </w:rPr>
        <w:t>Союза</w:t>
      </w:r>
      <w:r w:rsidR="00684823" w:rsidRPr="007479DF">
        <w:rPr>
          <w:rFonts w:ascii="Times New Roman" w:hAnsi="Times New Roman" w:cs="Times New Roman"/>
        </w:rPr>
        <w:t xml:space="preserve"> </w:t>
      </w:r>
      <w:r w:rsidRPr="007479DF">
        <w:rPr>
          <w:rFonts w:ascii="Times New Roman" w:hAnsi="Times New Roman" w:cs="Times New Roman"/>
        </w:rPr>
        <w:t xml:space="preserve">является сохранение и увеличение </w:t>
      </w:r>
      <w:r w:rsidR="002425D9" w:rsidRPr="007479DF">
        <w:rPr>
          <w:rFonts w:ascii="Times New Roman" w:hAnsi="Times New Roman" w:cs="Times New Roman"/>
        </w:rPr>
        <w:t xml:space="preserve">их </w:t>
      </w:r>
      <w:r w:rsidRPr="007479DF">
        <w:rPr>
          <w:rFonts w:ascii="Times New Roman" w:hAnsi="Times New Roman" w:cs="Times New Roman"/>
        </w:rPr>
        <w:t>размера в целях обеспечения имущественной отве</w:t>
      </w:r>
      <w:r w:rsidR="00BE6E63" w:rsidRPr="007479DF">
        <w:rPr>
          <w:rFonts w:ascii="Times New Roman" w:hAnsi="Times New Roman" w:cs="Times New Roman"/>
        </w:rPr>
        <w:t>т</w:t>
      </w:r>
      <w:r w:rsidRPr="007479DF">
        <w:rPr>
          <w:rFonts w:ascii="Times New Roman" w:hAnsi="Times New Roman" w:cs="Times New Roman"/>
        </w:rPr>
        <w:t xml:space="preserve">ственности членов </w:t>
      </w:r>
      <w:r w:rsidR="00734B0E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 xml:space="preserve"> по обязательс</w:t>
      </w:r>
      <w:r w:rsidR="00BE6E63" w:rsidRPr="007479DF">
        <w:rPr>
          <w:rFonts w:ascii="Times New Roman" w:hAnsi="Times New Roman" w:cs="Times New Roman"/>
        </w:rPr>
        <w:t>т</w:t>
      </w:r>
      <w:r w:rsidRPr="007479DF">
        <w:rPr>
          <w:rFonts w:ascii="Times New Roman" w:hAnsi="Times New Roman" w:cs="Times New Roman"/>
        </w:rPr>
        <w:t>вам, возникшим вследс</w:t>
      </w:r>
      <w:r w:rsidR="00BE6E63" w:rsidRPr="007479DF">
        <w:rPr>
          <w:rFonts w:ascii="Times New Roman" w:hAnsi="Times New Roman" w:cs="Times New Roman"/>
        </w:rPr>
        <w:t xml:space="preserve">твие причинения вреда </w:t>
      </w:r>
      <w:r w:rsidR="00922D63" w:rsidRPr="007479DF">
        <w:rPr>
          <w:rFonts w:ascii="Times New Roman" w:hAnsi="Times New Roman" w:cs="Times New Roman"/>
        </w:rPr>
        <w:t>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:rsidR="0083719F" w:rsidRPr="007479DF" w:rsidRDefault="002B78B6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В основе инвестиционной политики </w:t>
      </w:r>
      <w:r w:rsidR="00734B0E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 xml:space="preserve"> лежит стратегия сохранения и увеличения </w:t>
      </w:r>
      <w:r w:rsidR="00922D63" w:rsidRPr="007479DF">
        <w:rPr>
          <w:rFonts w:ascii="Times New Roman" w:hAnsi="Times New Roman" w:cs="Times New Roman"/>
        </w:rPr>
        <w:t xml:space="preserve">компенсационных фондов </w:t>
      </w:r>
      <w:r w:rsidR="00F76E34" w:rsidRPr="007479DF">
        <w:rPr>
          <w:rFonts w:ascii="Times New Roman" w:hAnsi="Times New Roman" w:cs="Times New Roman"/>
        </w:rPr>
        <w:t>Союза</w:t>
      </w:r>
      <w:r w:rsidR="00BE6E63" w:rsidRPr="007479DF">
        <w:rPr>
          <w:rFonts w:ascii="Times New Roman" w:hAnsi="Times New Roman" w:cs="Times New Roman"/>
        </w:rPr>
        <w:t>, предполагающая использование системы контроля рисков для получения среднего стабильного дохода при минимальном уровне риска</w:t>
      </w:r>
      <w:r w:rsidRPr="007479DF">
        <w:rPr>
          <w:rFonts w:ascii="Times New Roman" w:hAnsi="Times New Roman" w:cs="Times New Roman"/>
        </w:rPr>
        <w:t>.</w:t>
      </w:r>
    </w:p>
    <w:p w:rsidR="00C576DF" w:rsidRPr="007479DF" w:rsidRDefault="00C576DF" w:rsidP="007479DF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4279CA" w:rsidRPr="007479DF" w:rsidRDefault="00A32201" w:rsidP="007479DF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479DF">
        <w:rPr>
          <w:rFonts w:ascii="Times New Roman" w:hAnsi="Times New Roman" w:cs="Times New Roman"/>
          <w:b/>
        </w:rPr>
        <w:t>ПОРЯДОК И ПРАВИЛА ФОРМИРОВАНИЯ ИНВЕСТИЦИОННОГО ПОРТФЕЛЯ</w:t>
      </w:r>
    </w:p>
    <w:p w:rsidR="004279CA" w:rsidRPr="007479DF" w:rsidRDefault="004279CA" w:rsidP="007479DF">
      <w:pPr>
        <w:pStyle w:val="a8"/>
        <w:tabs>
          <w:tab w:val="left" w:pos="284"/>
        </w:tabs>
        <w:spacing w:line="276" w:lineRule="auto"/>
        <w:ind w:left="0"/>
        <w:contextualSpacing w:val="0"/>
        <w:rPr>
          <w:rFonts w:ascii="Times New Roman" w:hAnsi="Times New Roman" w:cs="Times New Roman"/>
          <w:b/>
        </w:rPr>
      </w:pPr>
    </w:p>
    <w:p w:rsidR="004279CA" w:rsidRPr="007479DF" w:rsidRDefault="00922D63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Компенсационные </w:t>
      </w:r>
      <w:r w:rsidR="00BE6E63" w:rsidRPr="007479DF">
        <w:rPr>
          <w:rFonts w:ascii="Times New Roman" w:hAnsi="Times New Roman" w:cs="Times New Roman"/>
        </w:rPr>
        <w:t>фонд</w:t>
      </w:r>
      <w:r w:rsidRPr="007479DF">
        <w:rPr>
          <w:rFonts w:ascii="Times New Roman" w:hAnsi="Times New Roman" w:cs="Times New Roman"/>
        </w:rPr>
        <w:t>ы</w:t>
      </w:r>
      <w:r w:rsidR="00BE6E63" w:rsidRPr="007479DF">
        <w:rPr>
          <w:rFonts w:ascii="Times New Roman" w:hAnsi="Times New Roman" w:cs="Times New Roman"/>
        </w:rPr>
        <w:t xml:space="preserve"> </w:t>
      </w:r>
      <w:r w:rsidR="00734B0E" w:rsidRPr="007479DF">
        <w:rPr>
          <w:rFonts w:ascii="Times New Roman" w:hAnsi="Times New Roman" w:cs="Times New Roman"/>
        </w:rPr>
        <w:t>Союза</w:t>
      </w:r>
      <w:r w:rsidR="00D33B36" w:rsidRPr="007479DF">
        <w:rPr>
          <w:rFonts w:ascii="Times New Roman" w:hAnsi="Times New Roman" w:cs="Times New Roman"/>
        </w:rPr>
        <w:t xml:space="preserve"> </w:t>
      </w:r>
      <w:r w:rsidR="00BE6E63" w:rsidRPr="007479DF">
        <w:rPr>
          <w:rFonts w:ascii="Times New Roman" w:hAnsi="Times New Roman" w:cs="Times New Roman"/>
        </w:rPr>
        <w:t xml:space="preserve">формируется исключительно в денежной форме за счет взносов членов </w:t>
      </w:r>
      <w:r w:rsidR="00734B0E" w:rsidRPr="007479DF">
        <w:rPr>
          <w:rFonts w:ascii="Times New Roman" w:hAnsi="Times New Roman" w:cs="Times New Roman"/>
        </w:rPr>
        <w:t>Союза</w:t>
      </w:r>
      <w:r w:rsidR="004E5193" w:rsidRPr="007479DF">
        <w:rPr>
          <w:rFonts w:ascii="Times New Roman" w:hAnsi="Times New Roman" w:cs="Times New Roman"/>
        </w:rPr>
        <w:t xml:space="preserve"> в порядке, предусмотренном </w:t>
      </w:r>
      <w:r w:rsidR="00D33B36" w:rsidRPr="007479DF">
        <w:rPr>
          <w:rFonts w:ascii="Times New Roman" w:hAnsi="Times New Roman" w:cs="Times New Roman"/>
        </w:rPr>
        <w:t xml:space="preserve">Градостроительным кодексом Российской Федерации, Уставом </w:t>
      </w:r>
      <w:r w:rsidR="00F3460C" w:rsidRPr="007479DF">
        <w:rPr>
          <w:rFonts w:ascii="Times New Roman" w:hAnsi="Times New Roman" w:cs="Times New Roman"/>
        </w:rPr>
        <w:t>Союза</w:t>
      </w:r>
      <w:r w:rsidR="00D33B36" w:rsidRPr="007479DF">
        <w:rPr>
          <w:rFonts w:ascii="Times New Roman" w:hAnsi="Times New Roman" w:cs="Times New Roman"/>
        </w:rPr>
        <w:t>, Положением о компенсационном фонде</w:t>
      </w:r>
      <w:r w:rsidR="00094039" w:rsidRPr="007479DF">
        <w:rPr>
          <w:rFonts w:ascii="Times New Roman" w:hAnsi="Times New Roman" w:cs="Times New Roman"/>
        </w:rPr>
        <w:t xml:space="preserve"> возмещения вреда</w:t>
      </w:r>
      <w:r w:rsidR="00D33B36" w:rsidRPr="007479DF">
        <w:rPr>
          <w:rFonts w:ascii="Times New Roman" w:hAnsi="Times New Roman" w:cs="Times New Roman"/>
        </w:rPr>
        <w:t xml:space="preserve"> </w:t>
      </w:r>
      <w:r w:rsidR="00F3460C" w:rsidRPr="007479DF">
        <w:rPr>
          <w:rFonts w:ascii="Times New Roman" w:hAnsi="Times New Roman" w:cs="Times New Roman"/>
        </w:rPr>
        <w:t>Союза</w:t>
      </w:r>
      <w:r w:rsidR="00D33B36" w:rsidRPr="007479DF">
        <w:rPr>
          <w:rFonts w:ascii="Times New Roman" w:hAnsi="Times New Roman" w:cs="Times New Roman"/>
        </w:rPr>
        <w:t>,</w:t>
      </w:r>
      <w:r w:rsidR="00094039" w:rsidRPr="007479DF">
        <w:rPr>
          <w:rFonts w:ascii="Times New Roman" w:hAnsi="Times New Roman" w:cs="Times New Roman"/>
        </w:rPr>
        <w:t xml:space="preserve"> Положения о компенсационном фонде обеспечения договорных обязательств,</w:t>
      </w:r>
      <w:r w:rsidR="00D33B36" w:rsidRPr="007479DF">
        <w:rPr>
          <w:rFonts w:ascii="Times New Roman" w:hAnsi="Times New Roman" w:cs="Times New Roman"/>
        </w:rPr>
        <w:t xml:space="preserve"> иными внутренними документами </w:t>
      </w:r>
      <w:r w:rsidR="00F3460C" w:rsidRPr="007479DF">
        <w:rPr>
          <w:rFonts w:ascii="Times New Roman" w:hAnsi="Times New Roman" w:cs="Times New Roman"/>
        </w:rPr>
        <w:t>Союза</w:t>
      </w:r>
      <w:r w:rsidR="004E5193" w:rsidRPr="007479DF">
        <w:rPr>
          <w:rFonts w:ascii="Times New Roman" w:hAnsi="Times New Roman" w:cs="Times New Roman"/>
        </w:rPr>
        <w:t>, а так же за счет дохода</w:t>
      </w:r>
      <w:r w:rsidR="009111DB" w:rsidRPr="007479DF">
        <w:rPr>
          <w:rFonts w:ascii="Times New Roman" w:hAnsi="Times New Roman" w:cs="Times New Roman"/>
        </w:rPr>
        <w:t>,</w:t>
      </w:r>
      <w:r w:rsidR="004E5193" w:rsidRPr="007479DF">
        <w:rPr>
          <w:rFonts w:ascii="Times New Roman" w:hAnsi="Times New Roman" w:cs="Times New Roman"/>
        </w:rPr>
        <w:t xml:space="preserve"> полученного от размещения средств </w:t>
      </w:r>
      <w:r w:rsidR="00094039" w:rsidRPr="007479DF">
        <w:rPr>
          <w:rFonts w:ascii="Times New Roman" w:hAnsi="Times New Roman" w:cs="Times New Roman"/>
        </w:rPr>
        <w:t xml:space="preserve">компенсационных фондов </w:t>
      </w:r>
      <w:r w:rsidR="00F3460C" w:rsidRPr="007479DF">
        <w:rPr>
          <w:rFonts w:ascii="Times New Roman" w:hAnsi="Times New Roman" w:cs="Times New Roman"/>
        </w:rPr>
        <w:t xml:space="preserve">Союза </w:t>
      </w:r>
      <w:r w:rsidR="004E5193" w:rsidRPr="007479DF">
        <w:rPr>
          <w:rFonts w:ascii="Times New Roman" w:hAnsi="Times New Roman" w:cs="Times New Roman"/>
        </w:rPr>
        <w:t>(за вычетом</w:t>
      </w:r>
      <w:r w:rsidR="00094039" w:rsidRPr="007479DF">
        <w:rPr>
          <w:rFonts w:ascii="Times New Roman" w:hAnsi="Times New Roman" w:cs="Times New Roman"/>
        </w:rPr>
        <w:t xml:space="preserve"> суммы налога на прибыль организаций, исчисленного с соответствующего дохода от размещения и</w:t>
      </w:r>
      <w:r w:rsidR="004E5193" w:rsidRPr="007479DF">
        <w:rPr>
          <w:rFonts w:ascii="Times New Roman" w:hAnsi="Times New Roman" w:cs="Times New Roman"/>
        </w:rPr>
        <w:t>расходов</w:t>
      </w:r>
      <w:r w:rsidR="009111DB" w:rsidRPr="007479DF">
        <w:rPr>
          <w:rFonts w:ascii="Times New Roman" w:hAnsi="Times New Roman" w:cs="Times New Roman"/>
        </w:rPr>
        <w:t>,</w:t>
      </w:r>
      <w:r w:rsidR="004E5193" w:rsidRPr="007479DF">
        <w:rPr>
          <w:rFonts w:ascii="Times New Roman" w:hAnsi="Times New Roman" w:cs="Times New Roman"/>
        </w:rPr>
        <w:t xml:space="preserve"> связанных с обеспечением надлежащих условий инвестирования средств компенсационного фонда</w:t>
      </w:r>
      <w:r w:rsidR="00D33B36" w:rsidRPr="007479DF">
        <w:rPr>
          <w:rFonts w:ascii="Times New Roman" w:hAnsi="Times New Roman" w:cs="Times New Roman"/>
        </w:rPr>
        <w:t xml:space="preserve"> </w:t>
      </w:r>
      <w:r w:rsidR="00F3460C" w:rsidRPr="007479DF">
        <w:rPr>
          <w:rFonts w:ascii="Times New Roman" w:hAnsi="Times New Roman" w:cs="Times New Roman"/>
        </w:rPr>
        <w:t>Союза</w:t>
      </w:r>
      <w:r w:rsidR="004E5193" w:rsidRPr="007479DF">
        <w:rPr>
          <w:rFonts w:ascii="Times New Roman" w:hAnsi="Times New Roman" w:cs="Times New Roman"/>
        </w:rPr>
        <w:t>).</w:t>
      </w:r>
    </w:p>
    <w:p w:rsidR="004279CA" w:rsidRPr="007479DF" w:rsidRDefault="00704AEF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lastRenderedPageBreak/>
        <w:t>Средства компенсационного фонда возмещения вреда и компенсационного фонда обеспечения договорных обязательств Союза размещаются на специальных банковских счетах, открытых в российских кредитных организациях, соответствующих требованиям, установленным Правительством Российской Федерации</w:t>
      </w:r>
    </w:p>
    <w:p w:rsidR="004279CA" w:rsidRPr="007479DF" w:rsidRDefault="00704AEF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Специальный банковский счет открывается отдельно для размещения средств компенсационного фонда возмещения вреда</w:t>
      </w:r>
      <w:r w:rsidR="00E1182C" w:rsidRPr="007479DF">
        <w:rPr>
          <w:rFonts w:ascii="Times New Roman" w:hAnsi="Times New Roman" w:cs="Times New Roman"/>
        </w:rPr>
        <w:t xml:space="preserve"> и</w:t>
      </w:r>
      <w:r w:rsidRPr="007479DF">
        <w:rPr>
          <w:rFonts w:ascii="Times New Roman" w:hAnsi="Times New Roman" w:cs="Times New Roman"/>
        </w:rPr>
        <w:t xml:space="preserve"> средств компенсационного фонда обеспечения договорных обязательств. Договоры специального банковского счета являются бессрочными</w:t>
      </w:r>
      <w:r w:rsidR="002B78B6" w:rsidRPr="007479DF">
        <w:rPr>
          <w:rFonts w:ascii="Times New Roman" w:hAnsi="Times New Roman" w:cs="Times New Roman"/>
        </w:rPr>
        <w:t>.</w:t>
      </w:r>
    </w:p>
    <w:p w:rsidR="004279CA" w:rsidRPr="007479DF" w:rsidRDefault="00704AEF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Учет средств компенсационного фонда возмещения вреда и средств компенсационного фонда обеспечения договорных обязательств ведется Союзом раздельно от учета е</w:t>
      </w:r>
      <w:r w:rsidR="00E1182C" w:rsidRPr="007479DF">
        <w:rPr>
          <w:rFonts w:ascii="Times New Roman" w:hAnsi="Times New Roman" w:cs="Times New Roman"/>
        </w:rPr>
        <w:t>го</w:t>
      </w:r>
      <w:r w:rsidRPr="007479DF">
        <w:rPr>
          <w:rFonts w:ascii="Times New Roman" w:hAnsi="Times New Roman" w:cs="Times New Roman"/>
        </w:rPr>
        <w:t xml:space="preserve"> иного имущества. На средства компенсационных фондов Союза не может быть обращено взыскание по </w:t>
      </w:r>
      <w:r w:rsidR="00E1182C" w:rsidRPr="007479DF">
        <w:rPr>
          <w:rFonts w:ascii="Times New Roman" w:hAnsi="Times New Roman" w:cs="Times New Roman"/>
        </w:rPr>
        <w:t>его</w:t>
      </w:r>
      <w:r w:rsidRPr="007479DF">
        <w:rPr>
          <w:rFonts w:ascii="Times New Roman" w:hAnsi="Times New Roman" w:cs="Times New Roman"/>
        </w:rPr>
        <w:t xml:space="preserve"> обязательствам, за исключением случаев, предусмотренных пунктами 5.5</w:t>
      </w:r>
      <w:r w:rsidR="00E1182C" w:rsidRPr="007479DF">
        <w:rPr>
          <w:rFonts w:ascii="Times New Roman" w:hAnsi="Times New Roman" w:cs="Times New Roman"/>
        </w:rPr>
        <w:t>.</w:t>
      </w:r>
      <w:r w:rsidRPr="007479DF">
        <w:rPr>
          <w:rFonts w:ascii="Times New Roman" w:hAnsi="Times New Roman" w:cs="Times New Roman"/>
        </w:rPr>
        <w:t xml:space="preserve"> и 5.6</w:t>
      </w:r>
      <w:r w:rsidR="00E1182C" w:rsidRPr="007479DF">
        <w:rPr>
          <w:rFonts w:ascii="Times New Roman" w:hAnsi="Times New Roman" w:cs="Times New Roman"/>
        </w:rPr>
        <w:t>.</w:t>
      </w:r>
      <w:r w:rsidRPr="007479DF">
        <w:rPr>
          <w:rFonts w:ascii="Times New Roman" w:hAnsi="Times New Roman" w:cs="Times New Roman"/>
        </w:rPr>
        <w:t xml:space="preserve"> настоящей статьи Инвестиционной декларации, и такие средства не включаются в конкурсную массу при признании судом Союза несостоятельным (банкротом)</w:t>
      </w:r>
      <w:r w:rsidR="002B78B6" w:rsidRPr="007479DF">
        <w:rPr>
          <w:rFonts w:ascii="Times New Roman" w:hAnsi="Times New Roman" w:cs="Times New Roman"/>
        </w:rPr>
        <w:t>.</w:t>
      </w:r>
    </w:p>
    <w:p w:rsidR="004279CA" w:rsidRPr="007479DF" w:rsidRDefault="00704AEF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</w:rPr>
        <w:t>Права на средства компенсационных фондов Союза, размещенные на специальных банковских счетах, принадлежат владельцу счетов. При исключении Союза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</w:t>
      </w:r>
      <w:r w:rsidR="00772BE0" w:rsidRPr="007479DF">
        <w:rPr>
          <w:rFonts w:ascii="Times New Roman" w:eastAsiaTheme="minorEastAsia" w:hAnsi="Times New Roman" w:cs="Times New Roman"/>
        </w:rPr>
        <w:t>.</w:t>
      </w:r>
    </w:p>
    <w:p w:rsidR="004279CA" w:rsidRPr="007479DF" w:rsidRDefault="00704AEF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eastAsiaTheme="minorEastAsia" w:hAnsi="Times New Roman" w:cs="Times New Roman"/>
        </w:rPr>
        <w:t>Одним из существенных условий договора специального банковского счета является согласие Союза 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информации о выплатах из средств компенсационного фонда (компенсационных фондов) Союза, об остатке средств на специальном счете (счетах), а также о средствах компенсационного фонда Союза, размещенных во вкладах (депозитах) и в иных финансовых активах Союза, по форме, установленной Банком России</w:t>
      </w:r>
      <w:r w:rsidR="009C063A" w:rsidRPr="007479DF">
        <w:rPr>
          <w:rFonts w:ascii="Times New Roman" w:eastAsiaTheme="minorEastAsia" w:hAnsi="Times New Roman" w:cs="Times New Roman"/>
        </w:rPr>
        <w:t>.</w:t>
      </w:r>
    </w:p>
    <w:p w:rsidR="004279CA" w:rsidRPr="007479DF" w:rsidRDefault="00704AEF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Средства компенсационного фонда возмещения вреда в целях сохранения и увеличения их размера размещаются и (или) инвестируются в порядке и на условиях, которые установлены Правительством Российской Федерации. Размещение и (или) инвестирование средств компенсационного фонда возмещения вреда Союза осуществляются с учетом обеспечения исполнения обязательств Союза с учетом пункта </w:t>
      </w:r>
      <w:r w:rsidR="00E80148" w:rsidRPr="007479DF">
        <w:rPr>
          <w:rFonts w:ascii="Times New Roman" w:hAnsi="Times New Roman" w:cs="Times New Roman"/>
        </w:rPr>
        <w:t>5.9.</w:t>
      </w:r>
      <w:r w:rsidRPr="007479DF">
        <w:rPr>
          <w:rFonts w:ascii="Times New Roman" w:hAnsi="Times New Roman" w:cs="Times New Roman"/>
        </w:rPr>
        <w:t xml:space="preserve"> настоящей Инвестиционной декларации</w:t>
      </w:r>
      <w:r w:rsidR="00B73CF3" w:rsidRPr="007479DF">
        <w:rPr>
          <w:rFonts w:ascii="Times New Roman" w:hAnsi="Times New Roman" w:cs="Times New Roman"/>
        </w:rPr>
        <w:t>.</w:t>
      </w:r>
    </w:p>
    <w:p w:rsidR="004279CA" w:rsidRPr="007479DF" w:rsidRDefault="00E80148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В случаях, порядке и на условиях, которые установлены Правительством Российской Федерации, средства компенсационного фонда возмещения вреда Союза могут передаваться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461DB8" w:rsidRPr="007479DF">
        <w:rPr>
          <w:rFonts w:ascii="Times New Roman" w:hAnsi="Times New Roman" w:cs="Times New Roman"/>
        </w:rPr>
        <w:t>.</w:t>
      </w:r>
    </w:p>
    <w:p w:rsidR="004279CA" w:rsidRPr="007479DF" w:rsidRDefault="00E80148" w:rsidP="007479DF">
      <w:pPr>
        <w:pStyle w:val="a8"/>
        <w:numPr>
          <w:ilvl w:val="1"/>
          <w:numId w:val="5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>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активов не должен превышать 10 (десять) рабочих дней с момента возникновения такой необходимости.</w:t>
      </w:r>
    </w:p>
    <w:p w:rsidR="004279CA" w:rsidRPr="007479DF" w:rsidRDefault="00E80148" w:rsidP="007479DF">
      <w:pPr>
        <w:pStyle w:val="a8"/>
        <w:numPr>
          <w:ilvl w:val="1"/>
          <w:numId w:val="5"/>
        </w:numPr>
        <w:tabs>
          <w:tab w:val="left" w:pos="1276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</w:rPr>
      </w:pPr>
      <w:r w:rsidRPr="007479DF">
        <w:rPr>
          <w:rFonts w:ascii="Times New Roman" w:hAnsi="Times New Roman" w:cs="Times New Roman"/>
        </w:rPr>
        <w:t>Для покрытия возможных убытков, связанных с утратой средств компенсационных фондов при их размещении в кредитных организациях и при их инвестировании в финансовые активы, Союз</w:t>
      </w:r>
      <w:r w:rsidR="00E3221F" w:rsidRPr="007479DF">
        <w:rPr>
          <w:rFonts w:ascii="Times New Roman" w:hAnsi="Times New Roman" w:cs="Times New Roman"/>
        </w:rPr>
        <w:t xml:space="preserve"> </w:t>
      </w:r>
      <w:r w:rsidRPr="007479DF">
        <w:rPr>
          <w:rFonts w:ascii="Times New Roman" w:hAnsi="Times New Roman" w:cs="Times New Roman"/>
        </w:rPr>
        <w:t>вправе применять меры по финансовой защите имущественных интересов, в том числе страхование.</w:t>
      </w:r>
    </w:p>
    <w:p w:rsidR="00E80148" w:rsidRPr="007479DF" w:rsidRDefault="00E80148" w:rsidP="007479DF">
      <w:pPr>
        <w:pStyle w:val="a8"/>
        <w:numPr>
          <w:ilvl w:val="1"/>
          <w:numId w:val="5"/>
        </w:numPr>
        <w:tabs>
          <w:tab w:val="left" w:pos="1276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</w:rPr>
      </w:pPr>
      <w:r w:rsidRPr="007479DF">
        <w:rPr>
          <w:rFonts w:ascii="Times New Roman" w:hAnsi="Times New Roman" w:cs="Times New Roman"/>
        </w:rPr>
        <w:t xml:space="preserve">Кредитная организация (кредитные организации), на специальном счете которой </w:t>
      </w:r>
      <w:r w:rsidRPr="007479DF">
        <w:rPr>
          <w:rFonts w:ascii="Times New Roman" w:hAnsi="Times New Roman" w:cs="Times New Roman"/>
        </w:rPr>
        <w:lastRenderedPageBreak/>
        <w:t>(которых) будут размещены средства компенсационных фондов или финансовые активы для инвестирования средств компенсационн</w:t>
      </w:r>
      <w:r w:rsidR="004B5441" w:rsidRPr="007479DF">
        <w:rPr>
          <w:rFonts w:ascii="Times New Roman" w:hAnsi="Times New Roman" w:cs="Times New Roman"/>
        </w:rPr>
        <w:t>ых</w:t>
      </w:r>
      <w:r w:rsidRPr="007479DF">
        <w:rPr>
          <w:rFonts w:ascii="Times New Roman" w:hAnsi="Times New Roman" w:cs="Times New Roman"/>
        </w:rPr>
        <w:t xml:space="preserve"> фонд</w:t>
      </w:r>
      <w:r w:rsidR="004B5441" w:rsidRPr="007479DF">
        <w:rPr>
          <w:rFonts w:ascii="Times New Roman" w:hAnsi="Times New Roman" w:cs="Times New Roman"/>
        </w:rPr>
        <w:t>ов</w:t>
      </w:r>
      <w:r w:rsidRPr="007479DF">
        <w:rPr>
          <w:rFonts w:ascii="Times New Roman" w:hAnsi="Times New Roman" w:cs="Times New Roman"/>
        </w:rPr>
        <w:t>, определя</w:t>
      </w:r>
      <w:r w:rsidR="004B5441" w:rsidRPr="007479DF">
        <w:rPr>
          <w:rFonts w:ascii="Times New Roman" w:hAnsi="Times New Roman" w:cs="Times New Roman"/>
        </w:rPr>
        <w:t xml:space="preserve">ется </w:t>
      </w:r>
      <w:r w:rsidRPr="007479DF">
        <w:rPr>
          <w:rFonts w:ascii="Times New Roman" w:hAnsi="Times New Roman" w:cs="Times New Roman"/>
        </w:rPr>
        <w:t>Советом Союза с учетом требований, которые установлены Правительством Российской Федерации.</w:t>
      </w:r>
    </w:p>
    <w:p w:rsidR="002B78B6" w:rsidRPr="007479DF" w:rsidRDefault="002B78B6" w:rsidP="007479DF">
      <w:pPr>
        <w:widowControl/>
        <w:tabs>
          <w:tab w:val="left" w:pos="360"/>
        </w:tabs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B78B6" w:rsidRPr="007479DF" w:rsidRDefault="002F36B3" w:rsidP="007479DF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79DF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2B78B6" w:rsidRPr="007479DF">
        <w:rPr>
          <w:rFonts w:ascii="Times New Roman" w:hAnsi="Times New Roman" w:cs="Times New Roman"/>
          <w:b/>
          <w:sz w:val="24"/>
          <w:szCs w:val="24"/>
        </w:rPr>
        <w:t xml:space="preserve"> ЗА РАЗМЕЩЕНИЕМ СРЕДСТВ </w:t>
      </w:r>
      <w:r w:rsidR="00E3221F" w:rsidRPr="007479DF">
        <w:rPr>
          <w:rFonts w:ascii="Times New Roman" w:hAnsi="Times New Roman" w:cs="Times New Roman"/>
          <w:b/>
          <w:sz w:val="24"/>
          <w:szCs w:val="24"/>
        </w:rPr>
        <w:t xml:space="preserve">КОМПЕНСАЦИОННЫХ ФОНДОВ </w:t>
      </w:r>
      <w:r w:rsidR="00734B0E" w:rsidRPr="007479DF">
        <w:rPr>
          <w:rFonts w:ascii="Times New Roman" w:hAnsi="Times New Roman" w:cs="Times New Roman"/>
          <w:b/>
          <w:sz w:val="24"/>
          <w:szCs w:val="24"/>
        </w:rPr>
        <w:t>СОЮЗА</w:t>
      </w:r>
    </w:p>
    <w:p w:rsidR="002B78B6" w:rsidRPr="007479DF" w:rsidRDefault="002B78B6" w:rsidP="007479DF">
      <w:pPr>
        <w:pStyle w:val="ConsPlusNormal"/>
        <w:widowControl/>
        <w:spacing w:line="276" w:lineRule="auto"/>
        <w:ind w:left="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B3D7E" w:rsidRPr="007479DF" w:rsidRDefault="002B78B6" w:rsidP="007479DF">
      <w:pPr>
        <w:pStyle w:val="a8"/>
        <w:numPr>
          <w:ilvl w:val="1"/>
          <w:numId w:val="5"/>
        </w:numPr>
        <w:tabs>
          <w:tab w:val="left" w:pos="284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Контроль за размещением средств </w:t>
      </w:r>
      <w:r w:rsidR="00E3221F" w:rsidRPr="007479DF">
        <w:rPr>
          <w:rFonts w:ascii="Times New Roman" w:hAnsi="Times New Roman" w:cs="Times New Roman"/>
        </w:rPr>
        <w:t xml:space="preserve">компенсационных фондов </w:t>
      </w:r>
      <w:r w:rsidR="00734B0E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 xml:space="preserve"> осуществляет </w:t>
      </w:r>
      <w:r w:rsidR="00B748D3" w:rsidRPr="007479DF">
        <w:rPr>
          <w:rFonts w:ascii="Times New Roman" w:hAnsi="Times New Roman" w:cs="Times New Roman"/>
        </w:rPr>
        <w:t xml:space="preserve">Директор </w:t>
      </w:r>
      <w:r w:rsidR="00734B0E" w:rsidRPr="007479DF">
        <w:rPr>
          <w:rFonts w:ascii="Times New Roman" w:hAnsi="Times New Roman" w:cs="Times New Roman"/>
        </w:rPr>
        <w:t>Союза</w:t>
      </w:r>
      <w:r w:rsidR="00526C5C" w:rsidRPr="007479DF">
        <w:rPr>
          <w:rFonts w:ascii="Times New Roman" w:hAnsi="Times New Roman" w:cs="Times New Roman"/>
        </w:rPr>
        <w:t>.</w:t>
      </w:r>
    </w:p>
    <w:p w:rsidR="00FB3D7E" w:rsidRPr="007479DF" w:rsidRDefault="00FB3D7E" w:rsidP="007479DF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FB3D7E" w:rsidRPr="007479DF" w:rsidRDefault="00F776CE" w:rsidP="007479DF">
      <w:pPr>
        <w:pStyle w:val="a8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479DF">
        <w:rPr>
          <w:rFonts w:ascii="Times New Roman" w:hAnsi="Times New Roman" w:cs="Times New Roman"/>
          <w:b/>
        </w:rPr>
        <w:t>ЗАКЛЮЧИТЕЛЬНЫЕ ПОЛОЖЕНИЯ</w:t>
      </w:r>
    </w:p>
    <w:p w:rsidR="00FB3D7E" w:rsidRPr="007479DF" w:rsidRDefault="00FB3D7E" w:rsidP="007479DF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0D1438" w:rsidRPr="007479DF" w:rsidRDefault="00FB3D7E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Настоящая </w:t>
      </w:r>
      <w:r w:rsidR="00F776CE" w:rsidRPr="007479DF">
        <w:rPr>
          <w:rFonts w:ascii="Times New Roman" w:hAnsi="Times New Roman" w:cs="Times New Roman"/>
        </w:rPr>
        <w:t>Инвестиционная д</w:t>
      </w:r>
      <w:r w:rsidRPr="007479DF">
        <w:rPr>
          <w:rFonts w:ascii="Times New Roman" w:hAnsi="Times New Roman" w:cs="Times New Roman"/>
        </w:rPr>
        <w:t xml:space="preserve">екларация вступает в силу </w:t>
      </w:r>
      <w:r w:rsidR="00F776CE" w:rsidRPr="007479DF">
        <w:rPr>
          <w:rFonts w:ascii="Times New Roman" w:hAnsi="Times New Roman" w:cs="Times New Roman"/>
        </w:rPr>
        <w:t xml:space="preserve">через 10 (десять) дней с даты ее утверждения и </w:t>
      </w:r>
      <w:r w:rsidRPr="007479DF">
        <w:rPr>
          <w:rFonts w:ascii="Times New Roman" w:hAnsi="Times New Roman" w:cs="Times New Roman"/>
        </w:rPr>
        <w:t>подлежит обязательному размещению на</w:t>
      </w:r>
      <w:r w:rsidR="00DB0411" w:rsidRPr="007479DF">
        <w:rPr>
          <w:rFonts w:ascii="Times New Roman" w:hAnsi="Times New Roman" w:cs="Times New Roman"/>
        </w:rPr>
        <w:t xml:space="preserve"> официальном сайте </w:t>
      </w:r>
      <w:r w:rsidR="00734B0E" w:rsidRPr="007479DF">
        <w:rPr>
          <w:rFonts w:ascii="Times New Roman" w:hAnsi="Times New Roman" w:cs="Times New Roman"/>
        </w:rPr>
        <w:t>Союза</w:t>
      </w:r>
      <w:r w:rsidR="00DB0411" w:rsidRPr="007479DF">
        <w:rPr>
          <w:rFonts w:ascii="Times New Roman" w:hAnsi="Times New Roman" w:cs="Times New Roman"/>
        </w:rPr>
        <w:t>, в сети Интернет</w:t>
      </w:r>
      <w:r w:rsidR="001D59D1" w:rsidRPr="007479DF">
        <w:rPr>
          <w:rFonts w:ascii="Times New Roman" w:hAnsi="Times New Roman" w:cs="Times New Roman"/>
        </w:rPr>
        <w:t xml:space="preserve"> в течении 3 (</w:t>
      </w:r>
      <w:r w:rsidR="005605F7" w:rsidRPr="007479DF">
        <w:rPr>
          <w:rFonts w:ascii="Times New Roman" w:hAnsi="Times New Roman" w:cs="Times New Roman"/>
        </w:rPr>
        <w:t>трех</w:t>
      </w:r>
      <w:r w:rsidR="001D59D1" w:rsidRPr="007479DF">
        <w:rPr>
          <w:rFonts w:ascii="Times New Roman" w:hAnsi="Times New Roman" w:cs="Times New Roman"/>
        </w:rPr>
        <w:t>)</w:t>
      </w:r>
      <w:r w:rsidR="005605F7" w:rsidRPr="007479DF">
        <w:rPr>
          <w:rFonts w:ascii="Times New Roman" w:hAnsi="Times New Roman" w:cs="Times New Roman"/>
        </w:rPr>
        <w:t xml:space="preserve"> рабочих дней со дня её принятия</w:t>
      </w:r>
      <w:r w:rsidR="00DB0411" w:rsidRPr="007479DF">
        <w:rPr>
          <w:rFonts w:ascii="Times New Roman" w:hAnsi="Times New Roman" w:cs="Times New Roman"/>
        </w:rPr>
        <w:t>.</w:t>
      </w:r>
    </w:p>
    <w:p w:rsidR="000D1438" w:rsidRPr="007479DF" w:rsidRDefault="00FB3D7E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Любые изменения, дополнения настоящей </w:t>
      </w:r>
      <w:r w:rsidR="00F776CE" w:rsidRPr="007479DF">
        <w:rPr>
          <w:rFonts w:ascii="Times New Roman" w:hAnsi="Times New Roman" w:cs="Times New Roman"/>
        </w:rPr>
        <w:t>Инвестиционной д</w:t>
      </w:r>
      <w:r w:rsidRPr="007479DF">
        <w:rPr>
          <w:rFonts w:ascii="Times New Roman" w:hAnsi="Times New Roman" w:cs="Times New Roman"/>
        </w:rPr>
        <w:t>екларации возможны путем утверждения новой редакции документа.</w:t>
      </w:r>
    </w:p>
    <w:p w:rsidR="003D6F94" w:rsidRPr="007479DF" w:rsidRDefault="00F83E85" w:rsidP="007479DF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479DF">
        <w:rPr>
          <w:rFonts w:ascii="Times New Roman" w:hAnsi="Times New Roman" w:cs="Times New Roman"/>
        </w:rPr>
        <w:t xml:space="preserve">Внесение изменений в настоящую Инвестиционную декларацию осуществляется принятием Общим собранием членов </w:t>
      </w:r>
      <w:r w:rsidR="00734B0E" w:rsidRPr="007479DF">
        <w:rPr>
          <w:rFonts w:ascii="Times New Roman" w:hAnsi="Times New Roman" w:cs="Times New Roman"/>
        </w:rPr>
        <w:t>Союза</w:t>
      </w:r>
      <w:r w:rsidRPr="007479DF">
        <w:rPr>
          <w:rFonts w:ascii="Times New Roman" w:hAnsi="Times New Roman" w:cs="Times New Roman"/>
        </w:rPr>
        <w:t xml:space="preserve"> новой редакции данного документа, при этом ранее действовавшая редакция Инвестиционной декларации становится недействительной со дня вступления в силу новой редакции Инвестиционной декларации.</w:t>
      </w:r>
    </w:p>
    <w:sectPr w:rsidR="003D6F94" w:rsidRPr="007479DF" w:rsidSect="007479DF">
      <w:footerReference w:type="even" r:id="rId9"/>
      <w:footerReference w:type="default" r:id="rId10"/>
      <w:pgSz w:w="11906" w:h="16838"/>
      <w:pgMar w:top="709" w:right="567" w:bottom="851" w:left="1701" w:header="709" w:footer="25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C1" w:rsidRDefault="009A5AC1" w:rsidP="002B78B6">
      <w:r>
        <w:separator/>
      </w:r>
    </w:p>
  </w:endnote>
  <w:endnote w:type="continuationSeparator" w:id="0">
    <w:p w:rsidR="009A5AC1" w:rsidRDefault="009A5AC1" w:rsidP="002B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6" w:rsidRDefault="006F64C9" w:rsidP="00FB3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46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4616" w:rsidRDefault="004A4616" w:rsidP="00FB3D7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0585015"/>
      <w:docPartObj>
        <w:docPartGallery w:val="Page Numbers (Bottom of Page)"/>
        <w:docPartUnique/>
      </w:docPartObj>
    </w:sdtPr>
    <w:sdtContent>
      <w:p w:rsidR="007479DF" w:rsidRDefault="006F64C9">
        <w:pPr>
          <w:pStyle w:val="a3"/>
          <w:jc w:val="center"/>
        </w:pPr>
        <w:r w:rsidRPr="007479DF">
          <w:rPr>
            <w:rFonts w:ascii="Times New Roman" w:hAnsi="Times New Roman" w:cs="Times New Roman"/>
          </w:rPr>
          <w:fldChar w:fldCharType="begin"/>
        </w:r>
        <w:r w:rsidR="007479DF" w:rsidRPr="007479DF">
          <w:rPr>
            <w:rFonts w:ascii="Times New Roman" w:hAnsi="Times New Roman" w:cs="Times New Roman"/>
          </w:rPr>
          <w:instrText>PAGE   \* MERGEFORMAT</w:instrText>
        </w:r>
        <w:r w:rsidRPr="007479DF">
          <w:rPr>
            <w:rFonts w:ascii="Times New Roman" w:hAnsi="Times New Roman" w:cs="Times New Roman"/>
          </w:rPr>
          <w:fldChar w:fldCharType="separate"/>
        </w:r>
        <w:r w:rsidR="00A868BA">
          <w:rPr>
            <w:rFonts w:ascii="Times New Roman" w:hAnsi="Times New Roman" w:cs="Times New Roman"/>
            <w:noProof/>
          </w:rPr>
          <w:t>5</w:t>
        </w:r>
        <w:r w:rsidRPr="007479DF">
          <w:rPr>
            <w:rFonts w:ascii="Times New Roman" w:hAnsi="Times New Roman" w:cs="Times New Roman"/>
          </w:rPr>
          <w:fldChar w:fldCharType="end"/>
        </w:r>
      </w:p>
    </w:sdtContent>
  </w:sdt>
  <w:p w:rsidR="004A4616" w:rsidRPr="007479DF" w:rsidRDefault="004A4616" w:rsidP="007479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C1" w:rsidRDefault="009A5AC1" w:rsidP="002B78B6">
      <w:r>
        <w:separator/>
      </w:r>
    </w:p>
  </w:footnote>
  <w:footnote w:type="continuationSeparator" w:id="0">
    <w:p w:rsidR="009A5AC1" w:rsidRDefault="009A5AC1" w:rsidP="002B7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379"/>
    <w:multiLevelType w:val="hybridMultilevel"/>
    <w:tmpl w:val="42E00478"/>
    <w:lvl w:ilvl="0" w:tplc="5740CD8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7917"/>
    <w:multiLevelType w:val="hybridMultilevel"/>
    <w:tmpl w:val="8FF2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409"/>
    <w:multiLevelType w:val="multilevel"/>
    <w:tmpl w:val="11A4F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2B8E257D"/>
    <w:multiLevelType w:val="hybridMultilevel"/>
    <w:tmpl w:val="5890EC3A"/>
    <w:lvl w:ilvl="0" w:tplc="B18E0CDA">
      <w:start w:val="1"/>
      <w:numFmt w:val="decimal"/>
      <w:lvlText w:val="%1)"/>
      <w:lvlJc w:val="left"/>
      <w:pPr>
        <w:ind w:left="2216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2CBD02B0"/>
    <w:multiLevelType w:val="multilevel"/>
    <w:tmpl w:val="C108C724"/>
    <w:lvl w:ilvl="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19" w:hanging="10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58" w:hanging="1080"/>
      </w:pPr>
      <w:rPr>
        <w:rFonts w:eastAsia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  <w:color w:val="auto"/>
        <w:sz w:val="26"/>
      </w:rPr>
    </w:lvl>
  </w:abstractNum>
  <w:abstractNum w:abstractNumId="5">
    <w:nsid w:val="3CA25339"/>
    <w:multiLevelType w:val="hybridMultilevel"/>
    <w:tmpl w:val="F40C2F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3875F1"/>
    <w:multiLevelType w:val="hybridMultilevel"/>
    <w:tmpl w:val="CA5EF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AE7E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E01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F426C0"/>
    <w:multiLevelType w:val="hybridMultilevel"/>
    <w:tmpl w:val="F334A3D2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62592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5068AE"/>
    <w:multiLevelType w:val="multilevel"/>
    <w:tmpl w:val="C108C724"/>
    <w:lvl w:ilvl="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19" w:hanging="10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58" w:hanging="1080"/>
      </w:pPr>
      <w:rPr>
        <w:rFonts w:eastAsia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  <w:color w:val="auto"/>
        <w:sz w:val="26"/>
      </w:rPr>
    </w:lvl>
  </w:abstractNum>
  <w:abstractNum w:abstractNumId="12">
    <w:nsid w:val="7C4A0305"/>
    <w:multiLevelType w:val="multilevel"/>
    <w:tmpl w:val="C108C724"/>
    <w:lvl w:ilvl="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19" w:hanging="10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58" w:hanging="1080"/>
      </w:pPr>
      <w:rPr>
        <w:rFonts w:eastAsia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  <w:color w:val="auto"/>
        <w:sz w:val="26"/>
      </w:rPr>
    </w:lvl>
  </w:abstractNum>
  <w:abstractNum w:abstractNumId="13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78B6"/>
    <w:rsid w:val="000028D5"/>
    <w:rsid w:val="000363CF"/>
    <w:rsid w:val="0004607A"/>
    <w:rsid w:val="00057070"/>
    <w:rsid w:val="00061C7E"/>
    <w:rsid w:val="00065DAD"/>
    <w:rsid w:val="00070192"/>
    <w:rsid w:val="00094039"/>
    <w:rsid w:val="000953AA"/>
    <w:rsid w:val="000B67FF"/>
    <w:rsid w:val="000D1438"/>
    <w:rsid w:val="001318A2"/>
    <w:rsid w:val="001417C2"/>
    <w:rsid w:val="0015049F"/>
    <w:rsid w:val="001514AD"/>
    <w:rsid w:val="00164A81"/>
    <w:rsid w:val="00180AF5"/>
    <w:rsid w:val="001B0A81"/>
    <w:rsid w:val="001B2BBC"/>
    <w:rsid w:val="001D59D1"/>
    <w:rsid w:val="00214D26"/>
    <w:rsid w:val="002234C4"/>
    <w:rsid w:val="0022415F"/>
    <w:rsid w:val="002313DA"/>
    <w:rsid w:val="00235E78"/>
    <w:rsid w:val="002425D9"/>
    <w:rsid w:val="00245BFD"/>
    <w:rsid w:val="00245CA2"/>
    <w:rsid w:val="002533E0"/>
    <w:rsid w:val="002851DF"/>
    <w:rsid w:val="00294E90"/>
    <w:rsid w:val="002A630C"/>
    <w:rsid w:val="002B78B6"/>
    <w:rsid w:val="002C4FCD"/>
    <w:rsid w:val="002D159D"/>
    <w:rsid w:val="002D561B"/>
    <w:rsid w:val="002E291B"/>
    <w:rsid w:val="002F36B3"/>
    <w:rsid w:val="002F3D5E"/>
    <w:rsid w:val="00363E73"/>
    <w:rsid w:val="00370245"/>
    <w:rsid w:val="00372C02"/>
    <w:rsid w:val="003850A6"/>
    <w:rsid w:val="003A3AB6"/>
    <w:rsid w:val="003D6F94"/>
    <w:rsid w:val="003F3F2B"/>
    <w:rsid w:val="00405E70"/>
    <w:rsid w:val="004279CA"/>
    <w:rsid w:val="00432458"/>
    <w:rsid w:val="0044567C"/>
    <w:rsid w:val="0045139D"/>
    <w:rsid w:val="00461DB8"/>
    <w:rsid w:val="0046452F"/>
    <w:rsid w:val="00464B78"/>
    <w:rsid w:val="004736E9"/>
    <w:rsid w:val="0049341B"/>
    <w:rsid w:val="00497F96"/>
    <w:rsid w:val="004A1744"/>
    <w:rsid w:val="004A4616"/>
    <w:rsid w:val="004B5441"/>
    <w:rsid w:val="004C10D7"/>
    <w:rsid w:val="004D15CD"/>
    <w:rsid w:val="004E5193"/>
    <w:rsid w:val="0050548D"/>
    <w:rsid w:val="005156EB"/>
    <w:rsid w:val="00526C5C"/>
    <w:rsid w:val="005574BC"/>
    <w:rsid w:val="005605F7"/>
    <w:rsid w:val="00560B89"/>
    <w:rsid w:val="00564C73"/>
    <w:rsid w:val="00580F85"/>
    <w:rsid w:val="00583088"/>
    <w:rsid w:val="005A5A5C"/>
    <w:rsid w:val="005D149D"/>
    <w:rsid w:val="0061490A"/>
    <w:rsid w:val="00620969"/>
    <w:rsid w:val="00644B00"/>
    <w:rsid w:val="00654EBA"/>
    <w:rsid w:val="00684823"/>
    <w:rsid w:val="00692ACB"/>
    <w:rsid w:val="006D2252"/>
    <w:rsid w:val="006F20C1"/>
    <w:rsid w:val="006F64C9"/>
    <w:rsid w:val="00704AEF"/>
    <w:rsid w:val="00707AE0"/>
    <w:rsid w:val="00733E8E"/>
    <w:rsid w:val="00734B0E"/>
    <w:rsid w:val="00747502"/>
    <w:rsid w:val="007479DF"/>
    <w:rsid w:val="00766EA4"/>
    <w:rsid w:val="00772BE0"/>
    <w:rsid w:val="0079291C"/>
    <w:rsid w:val="007A18F7"/>
    <w:rsid w:val="007B260D"/>
    <w:rsid w:val="007F7934"/>
    <w:rsid w:val="00803151"/>
    <w:rsid w:val="0083719F"/>
    <w:rsid w:val="008371BA"/>
    <w:rsid w:val="00842943"/>
    <w:rsid w:val="00866ACD"/>
    <w:rsid w:val="00874D6C"/>
    <w:rsid w:val="00887305"/>
    <w:rsid w:val="008C04B6"/>
    <w:rsid w:val="008C563D"/>
    <w:rsid w:val="008C658C"/>
    <w:rsid w:val="008F3681"/>
    <w:rsid w:val="009111DB"/>
    <w:rsid w:val="00922D63"/>
    <w:rsid w:val="0092517E"/>
    <w:rsid w:val="009336D9"/>
    <w:rsid w:val="009372FE"/>
    <w:rsid w:val="00971CA5"/>
    <w:rsid w:val="009A5AC1"/>
    <w:rsid w:val="009A60E2"/>
    <w:rsid w:val="009C063A"/>
    <w:rsid w:val="009E422F"/>
    <w:rsid w:val="00A0077D"/>
    <w:rsid w:val="00A06EFF"/>
    <w:rsid w:val="00A32201"/>
    <w:rsid w:val="00A339E0"/>
    <w:rsid w:val="00A36E39"/>
    <w:rsid w:val="00A37C81"/>
    <w:rsid w:val="00A565B1"/>
    <w:rsid w:val="00A77DB6"/>
    <w:rsid w:val="00A868BA"/>
    <w:rsid w:val="00AA0574"/>
    <w:rsid w:val="00AA1925"/>
    <w:rsid w:val="00AD65F9"/>
    <w:rsid w:val="00AF49A4"/>
    <w:rsid w:val="00B14043"/>
    <w:rsid w:val="00B20914"/>
    <w:rsid w:val="00B405E2"/>
    <w:rsid w:val="00B71BD1"/>
    <w:rsid w:val="00B73CF3"/>
    <w:rsid w:val="00B73EF5"/>
    <w:rsid w:val="00B748D3"/>
    <w:rsid w:val="00BA098B"/>
    <w:rsid w:val="00BA23A1"/>
    <w:rsid w:val="00BB1477"/>
    <w:rsid w:val="00BC3454"/>
    <w:rsid w:val="00BC5087"/>
    <w:rsid w:val="00BD20C2"/>
    <w:rsid w:val="00BE4C9A"/>
    <w:rsid w:val="00BE6E63"/>
    <w:rsid w:val="00BE7BB8"/>
    <w:rsid w:val="00BF71EE"/>
    <w:rsid w:val="00C03EEC"/>
    <w:rsid w:val="00C27B61"/>
    <w:rsid w:val="00C43391"/>
    <w:rsid w:val="00C576DF"/>
    <w:rsid w:val="00C62D12"/>
    <w:rsid w:val="00C76730"/>
    <w:rsid w:val="00C84AEE"/>
    <w:rsid w:val="00C906D7"/>
    <w:rsid w:val="00C97E0D"/>
    <w:rsid w:val="00CA4655"/>
    <w:rsid w:val="00CA5756"/>
    <w:rsid w:val="00CC2555"/>
    <w:rsid w:val="00CD2738"/>
    <w:rsid w:val="00CD7549"/>
    <w:rsid w:val="00CE0EEA"/>
    <w:rsid w:val="00CE5FCC"/>
    <w:rsid w:val="00D01C84"/>
    <w:rsid w:val="00D050A9"/>
    <w:rsid w:val="00D06816"/>
    <w:rsid w:val="00D33B36"/>
    <w:rsid w:val="00D82627"/>
    <w:rsid w:val="00D94F14"/>
    <w:rsid w:val="00D95025"/>
    <w:rsid w:val="00DA2128"/>
    <w:rsid w:val="00DA4DA2"/>
    <w:rsid w:val="00DB0411"/>
    <w:rsid w:val="00DC0AE2"/>
    <w:rsid w:val="00DD00BA"/>
    <w:rsid w:val="00DF7A90"/>
    <w:rsid w:val="00E1182C"/>
    <w:rsid w:val="00E228AA"/>
    <w:rsid w:val="00E3180F"/>
    <w:rsid w:val="00E3221F"/>
    <w:rsid w:val="00E45F99"/>
    <w:rsid w:val="00E467BE"/>
    <w:rsid w:val="00E5634B"/>
    <w:rsid w:val="00E711AB"/>
    <w:rsid w:val="00E80148"/>
    <w:rsid w:val="00E97C54"/>
    <w:rsid w:val="00EC2776"/>
    <w:rsid w:val="00F07420"/>
    <w:rsid w:val="00F12C1F"/>
    <w:rsid w:val="00F16E17"/>
    <w:rsid w:val="00F2572F"/>
    <w:rsid w:val="00F31111"/>
    <w:rsid w:val="00F3460C"/>
    <w:rsid w:val="00F35449"/>
    <w:rsid w:val="00F46720"/>
    <w:rsid w:val="00F748AB"/>
    <w:rsid w:val="00F76E34"/>
    <w:rsid w:val="00F776CE"/>
    <w:rsid w:val="00F83E85"/>
    <w:rsid w:val="00F947FC"/>
    <w:rsid w:val="00FA6F43"/>
    <w:rsid w:val="00FB3D7E"/>
    <w:rsid w:val="00FC1644"/>
    <w:rsid w:val="00FE018B"/>
    <w:rsid w:val="00FE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uiPriority w:val="99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7D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D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47.ru/files/partner/pr2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0E97E-0FDC-4A83-A99E-9C01C2A7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user</cp:lastModifiedBy>
  <cp:revision>134</cp:revision>
  <cp:lastPrinted>2014-04-22T07:07:00Z</cp:lastPrinted>
  <dcterms:created xsi:type="dcterms:W3CDTF">2013-12-02T06:10:00Z</dcterms:created>
  <dcterms:modified xsi:type="dcterms:W3CDTF">2016-12-05T08:59:00Z</dcterms:modified>
</cp:coreProperties>
</file>